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BD541" w14:textId="77777777" w:rsidR="004D00A2" w:rsidRPr="00937872" w:rsidRDefault="00FB0F24" w:rsidP="00FB0F24">
      <w:pPr>
        <w:rPr>
          <w:rFonts w:ascii="Calibri" w:eastAsia="Calibri" w:hAnsi="Calibri" w:cs="Times New Roman"/>
          <w:b/>
          <w:noProof/>
        </w:rPr>
      </w:pPr>
      <w:r>
        <w:rPr>
          <w:rFonts w:ascii="Calibri" w:eastAsia="Calibri" w:hAnsi="Calibri" w:cs="Times New Roman"/>
          <w:b/>
          <w:noProof/>
        </w:rPr>
        <w:t xml:space="preserve">                                            </w:t>
      </w:r>
      <w:r w:rsidR="004D00A2" w:rsidRPr="00937872">
        <w:rPr>
          <w:rFonts w:ascii="Calibri" w:eastAsia="Calibri" w:hAnsi="Calibri" w:cs="Times New Roman"/>
          <w:b/>
          <w:noProof/>
        </w:rPr>
        <w:t xml:space="preserve">Standard Operating Procedure  </w:t>
      </w:r>
      <w:r>
        <w:rPr>
          <w:rFonts w:ascii="Calibri" w:eastAsia="Calibri" w:hAnsi="Calibri" w:cs="Times New Roman"/>
          <w:b/>
          <w:noProof/>
        </w:rPr>
        <w:t>for  BCG</w:t>
      </w:r>
      <w:r w:rsidR="004D00A2" w:rsidRPr="00937872">
        <w:rPr>
          <w:rFonts w:ascii="Calibri" w:eastAsia="Calibri" w:hAnsi="Calibri" w:cs="Times New Roman"/>
          <w:b/>
          <w:noProof/>
        </w:rPr>
        <w:t xml:space="preserve">            </w:t>
      </w:r>
    </w:p>
    <w:p w14:paraId="3240BE29" w14:textId="77777777" w:rsidR="004D00A2" w:rsidRPr="00D227EC" w:rsidRDefault="004D00A2" w:rsidP="004D00A2">
      <w:pPr>
        <w:numPr>
          <w:ilvl w:val="0"/>
          <w:numId w:val="1"/>
        </w:numPr>
        <w:rPr>
          <w:rFonts w:ascii="Times New Roman" w:eastAsia="Calibri" w:hAnsi="Times New Roman" w:cs="Times New Roman"/>
          <w:b/>
          <w:sz w:val="24"/>
          <w:szCs w:val="24"/>
        </w:rPr>
      </w:pPr>
      <w:r w:rsidRPr="00D227EC">
        <w:rPr>
          <w:rFonts w:ascii="Times New Roman" w:eastAsia="Calibri" w:hAnsi="Times New Roman" w:cs="Times New Roman"/>
          <w:b/>
          <w:sz w:val="24"/>
          <w:szCs w:val="24"/>
        </w:rPr>
        <w:t>Policy</w:t>
      </w:r>
    </w:p>
    <w:p w14:paraId="78CBF06D" w14:textId="1A6612DA" w:rsidR="00124631" w:rsidRDefault="004D00A2" w:rsidP="00124631">
      <w:pPr>
        <w:rPr>
          <w:rFonts w:ascii="Times New Roman" w:eastAsia="Calibri" w:hAnsi="Times New Roman" w:cs="Times New Roman"/>
          <w:sz w:val="24"/>
          <w:szCs w:val="24"/>
        </w:rPr>
      </w:pPr>
      <w:r>
        <w:rPr>
          <w:rFonts w:ascii="Times New Roman" w:eastAsia="Calibri" w:hAnsi="Times New Roman" w:cs="Times New Roman"/>
          <w:sz w:val="24"/>
          <w:szCs w:val="24"/>
        </w:rPr>
        <w:t xml:space="preserve">It is the policy of </w:t>
      </w:r>
      <w:r w:rsidR="00275E6C">
        <w:rPr>
          <w:rFonts w:ascii="Times New Roman" w:eastAsia="Calibri" w:hAnsi="Times New Roman" w:cs="Times New Roman"/>
          <w:sz w:val="24"/>
          <w:szCs w:val="24"/>
        </w:rPr>
        <w:t xml:space="preserve">Southeastern Louisiana Veterans Healthcare </w:t>
      </w:r>
      <w:r w:rsidR="00B00BEB">
        <w:rPr>
          <w:rFonts w:ascii="Times New Roman" w:eastAsia="Calibri" w:hAnsi="Times New Roman" w:cs="Times New Roman"/>
          <w:sz w:val="24"/>
          <w:szCs w:val="24"/>
        </w:rPr>
        <w:t>System</w:t>
      </w:r>
      <w:r w:rsidRPr="00D227EC">
        <w:rPr>
          <w:rFonts w:ascii="Times New Roman" w:eastAsia="Calibri" w:hAnsi="Times New Roman" w:cs="Times New Roman"/>
          <w:sz w:val="24"/>
          <w:szCs w:val="24"/>
        </w:rPr>
        <w:t xml:space="preserve"> to</w:t>
      </w:r>
      <w:r w:rsidR="00EC25B3">
        <w:rPr>
          <w:rFonts w:ascii="Times New Roman" w:eastAsia="Calibri" w:hAnsi="Times New Roman" w:cs="Times New Roman"/>
          <w:sz w:val="24"/>
          <w:szCs w:val="24"/>
        </w:rPr>
        <w:t xml:space="preserve"> esta</w:t>
      </w:r>
      <w:r w:rsidR="00124631">
        <w:rPr>
          <w:rFonts w:ascii="Times New Roman" w:eastAsia="Calibri" w:hAnsi="Times New Roman" w:cs="Times New Roman"/>
          <w:sz w:val="24"/>
          <w:szCs w:val="24"/>
        </w:rPr>
        <w:t>blish guidelines</w:t>
      </w:r>
      <w:r w:rsidR="00124631" w:rsidRPr="00124631">
        <w:rPr>
          <w:rFonts w:ascii="Times New Roman" w:eastAsia="Calibri" w:hAnsi="Times New Roman" w:cs="Times New Roman"/>
          <w:sz w:val="24"/>
          <w:szCs w:val="24"/>
        </w:rPr>
        <w:t xml:space="preserve"> f</w:t>
      </w:r>
      <w:r w:rsidR="005228A4">
        <w:rPr>
          <w:rFonts w:ascii="Times New Roman" w:eastAsia="Calibri" w:hAnsi="Times New Roman" w:cs="Times New Roman"/>
          <w:sz w:val="24"/>
          <w:szCs w:val="24"/>
        </w:rPr>
        <w:t xml:space="preserve">or the </w:t>
      </w:r>
      <w:r w:rsidR="00275E6C">
        <w:rPr>
          <w:rFonts w:ascii="Times New Roman" w:eastAsia="Calibri" w:hAnsi="Times New Roman" w:cs="Times New Roman"/>
          <w:sz w:val="24"/>
          <w:szCs w:val="24"/>
        </w:rPr>
        <w:t xml:space="preserve">instillation of bladder </w:t>
      </w:r>
      <w:proofErr w:type="spellStart"/>
      <w:r w:rsidR="00275E6C">
        <w:rPr>
          <w:rFonts w:ascii="Times New Roman" w:eastAsia="Calibri" w:hAnsi="Times New Roman" w:cs="Times New Roman"/>
          <w:sz w:val="24"/>
          <w:szCs w:val="24"/>
        </w:rPr>
        <w:t>botox</w:t>
      </w:r>
      <w:proofErr w:type="spellEnd"/>
      <w:r w:rsidR="00124631" w:rsidRPr="00124631">
        <w:rPr>
          <w:rFonts w:ascii="Times New Roman" w:eastAsia="Calibri" w:hAnsi="Times New Roman" w:cs="Times New Roman"/>
          <w:sz w:val="24"/>
          <w:szCs w:val="24"/>
        </w:rPr>
        <w:t xml:space="preserve"> in a safe and effective manner.</w:t>
      </w:r>
    </w:p>
    <w:p w14:paraId="1630BFC4" w14:textId="4DAB52E0" w:rsidR="00124631" w:rsidRDefault="00124631" w:rsidP="00B00BEB">
      <w:pPr>
        <w:spacing w:after="0" w:line="240" w:lineRule="auto"/>
        <w:rPr>
          <w:rFonts w:ascii="Times New Roman" w:eastAsia="Calibri" w:hAnsi="Times New Roman" w:cs="Times New Roman"/>
          <w:sz w:val="24"/>
          <w:szCs w:val="24"/>
        </w:rPr>
      </w:pPr>
      <w:r w:rsidRPr="00124631">
        <w:rPr>
          <w:rFonts w:ascii="Times New Roman" w:eastAsia="Calibri" w:hAnsi="Times New Roman" w:cs="Times New Roman"/>
          <w:sz w:val="24"/>
          <w:szCs w:val="24"/>
        </w:rPr>
        <w:t xml:space="preserve">    </w:t>
      </w:r>
    </w:p>
    <w:p w14:paraId="67397BE5" w14:textId="77777777" w:rsidR="004D00A2" w:rsidRPr="004D00A2" w:rsidRDefault="004D00A2" w:rsidP="004D00A2">
      <w:pPr>
        <w:rPr>
          <w:rFonts w:ascii="Times New Roman" w:eastAsia="Calibri" w:hAnsi="Times New Roman" w:cs="Times New Roman"/>
          <w:b/>
          <w:sz w:val="24"/>
          <w:szCs w:val="24"/>
        </w:rPr>
      </w:pPr>
      <w:r>
        <w:rPr>
          <w:rFonts w:ascii="Times New Roman" w:eastAsia="Calibri" w:hAnsi="Times New Roman" w:cs="Times New Roman"/>
          <w:b/>
          <w:sz w:val="24"/>
          <w:szCs w:val="24"/>
        </w:rPr>
        <w:t>2.0 Procedure</w:t>
      </w:r>
    </w:p>
    <w:tbl>
      <w:tblPr>
        <w:tblStyle w:val="TableGrid"/>
        <w:tblW w:w="10517" w:type="dxa"/>
        <w:tblInd w:w="18" w:type="dxa"/>
        <w:tblLayout w:type="fixed"/>
        <w:tblLook w:val="04A0" w:firstRow="1" w:lastRow="0" w:firstColumn="1" w:lastColumn="0" w:noHBand="0" w:noVBand="1"/>
      </w:tblPr>
      <w:tblGrid>
        <w:gridCol w:w="10517"/>
      </w:tblGrid>
      <w:tr w:rsidR="004D00A2" w:rsidRPr="00860DF2" w14:paraId="4179BD6B" w14:textId="77777777" w:rsidTr="004D00A2">
        <w:trPr>
          <w:trHeight w:val="321"/>
        </w:trPr>
        <w:tc>
          <w:tcPr>
            <w:tcW w:w="10517" w:type="dxa"/>
            <w:shd w:val="clear" w:color="auto" w:fill="000000" w:themeFill="text1"/>
          </w:tcPr>
          <w:p w14:paraId="2352FB27" w14:textId="77777777" w:rsidR="004D00A2" w:rsidRPr="00C81DD9" w:rsidRDefault="004D00A2" w:rsidP="004D00A2">
            <w:pPr>
              <w:rPr>
                <w:rFonts w:ascii="Times New Roman" w:hAnsi="Times New Roman" w:cs="Times New Roman"/>
                <w:b/>
                <w:sz w:val="28"/>
                <w:szCs w:val="28"/>
              </w:rPr>
            </w:pPr>
            <w:r>
              <w:rPr>
                <w:rFonts w:ascii="Times New Roman" w:hAnsi="Times New Roman" w:cs="Times New Roman"/>
                <w:b/>
                <w:sz w:val="28"/>
                <w:szCs w:val="28"/>
              </w:rPr>
              <w:t>Procedure</w:t>
            </w:r>
          </w:p>
        </w:tc>
      </w:tr>
      <w:tr w:rsidR="001A32C9" w:rsidRPr="00BF713E" w14:paraId="077C3762" w14:textId="77777777" w:rsidTr="00473C32">
        <w:trPr>
          <w:trHeight w:val="83"/>
        </w:trPr>
        <w:tc>
          <w:tcPr>
            <w:tcW w:w="10517" w:type="dxa"/>
          </w:tcPr>
          <w:p w14:paraId="766478D3" w14:textId="77777777" w:rsidR="001A32C9" w:rsidRPr="000330E8" w:rsidRDefault="00EB4FDF" w:rsidP="0024279C">
            <w:pPr>
              <w:rPr>
                <w:rFonts w:cs="Arial"/>
                <w:b/>
                <w:sz w:val="28"/>
                <w:szCs w:val="28"/>
              </w:rPr>
            </w:pPr>
            <w:r w:rsidRPr="000330E8">
              <w:rPr>
                <w:rFonts w:cs="Arial"/>
                <w:b/>
                <w:sz w:val="28"/>
                <w:szCs w:val="28"/>
              </w:rPr>
              <w:t>A. Contraindications</w:t>
            </w:r>
          </w:p>
        </w:tc>
      </w:tr>
      <w:tr w:rsidR="0024279C" w:rsidRPr="00BF713E" w14:paraId="2332F2CD" w14:textId="77777777" w:rsidTr="00473C32">
        <w:trPr>
          <w:trHeight w:val="83"/>
        </w:trPr>
        <w:tc>
          <w:tcPr>
            <w:tcW w:w="10517" w:type="dxa"/>
          </w:tcPr>
          <w:p w14:paraId="236AC2C6" w14:textId="77777777" w:rsidR="00275E6C" w:rsidRDefault="00275E6C" w:rsidP="00275E6C">
            <w:pPr>
              <w:pStyle w:val="ListParagraph"/>
              <w:numPr>
                <w:ilvl w:val="0"/>
                <w:numId w:val="24"/>
              </w:numPr>
              <w:rPr>
                <w:rFonts w:cs="Arial"/>
                <w:sz w:val="24"/>
                <w:szCs w:val="24"/>
              </w:rPr>
            </w:pPr>
            <w:r w:rsidRPr="00275E6C">
              <w:rPr>
                <w:rFonts w:cs="Arial"/>
                <w:sz w:val="24"/>
                <w:szCs w:val="24"/>
              </w:rPr>
              <w:t xml:space="preserve">Hypersensitivity to any botulinum toxin preparation or to any of the components in the formulation </w:t>
            </w:r>
          </w:p>
          <w:p w14:paraId="76051CDB" w14:textId="77777777" w:rsidR="00275E6C" w:rsidRDefault="00275E6C" w:rsidP="00275E6C">
            <w:pPr>
              <w:pStyle w:val="ListParagraph"/>
              <w:numPr>
                <w:ilvl w:val="0"/>
                <w:numId w:val="24"/>
              </w:numPr>
              <w:rPr>
                <w:rFonts w:cs="Arial"/>
                <w:sz w:val="24"/>
                <w:szCs w:val="24"/>
              </w:rPr>
            </w:pPr>
            <w:r w:rsidRPr="00275E6C">
              <w:rPr>
                <w:rFonts w:cs="Arial"/>
                <w:sz w:val="24"/>
                <w:szCs w:val="24"/>
              </w:rPr>
              <w:t>Infection at the proposed injection site</w:t>
            </w:r>
          </w:p>
          <w:p w14:paraId="4365607A" w14:textId="3DD02AC2" w:rsidR="0024279C" w:rsidRPr="00275E6C" w:rsidRDefault="00275E6C" w:rsidP="00275E6C">
            <w:pPr>
              <w:pStyle w:val="ListParagraph"/>
              <w:numPr>
                <w:ilvl w:val="0"/>
                <w:numId w:val="24"/>
              </w:numPr>
              <w:rPr>
                <w:rFonts w:cs="Arial"/>
                <w:sz w:val="24"/>
                <w:szCs w:val="24"/>
              </w:rPr>
            </w:pPr>
            <w:r w:rsidRPr="00275E6C">
              <w:rPr>
                <w:rFonts w:cs="Arial"/>
                <w:sz w:val="24"/>
                <w:szCs w:val="24"/>
              </w:rPr>
              <w:t>Urinary tract infection or urinary retention</w:t>
            </w:r>
          </w:p>
        </w:tc>
      </w:tr>
      <w:tr w:rsidR="009E4BEC" w:rsidRPr="00BF713E" w14:paraId="3CADB87B" w14:textId="77777777" w:rsidTr="00473C32">
        <w:trPr>
          <w:trHeight w:val="83"/>
        </w:trPr>
        <w:tc>
          <w:tcPr>
            <w:tcW w:w="10517" w:type="dxa"/>
          </w:tcPr>
          <w:p w14:paraId="74996B13" w14:textId="77777777" w:rsidR="009E4BEC" w:rsidRPr="000330E8" w:rsidRDefault="009E4BEC" w:rsidP="00A34640">
            <w:pPr>
              <w:rPr>
                <w:rFonts w:cs="Arial"/>
                <w:b/>
                <w:sz w:val="28"/>
                <w:szCs w:val="28"/>
              </w:rPr>
            </w:pPr>
            <w:r w:rsidRPr="000330E8">
              <w:rPr>
                <w:rFonts w:cs="Arial"/>
                <w:b/>
                <w:sz w:val="28"/>
                <w:szCs w:val="28"/>
              </w:rPr>
              <w:t>B. Gather Supplies</w:t>
            </w:r>
          </w:p>
        </w:tc>
      </w:tr>
      <w:tr w:rsidR="009E4BEC" w:rsidRPr="00965560" w14:paraId="37AA5F25" w14:textId="77777777" w:rsidTr="00473C32">
        <w:trPr>
          <w:trHeight w:val="83"/>
        </w:trPr>
        <w:tc>
          <w:tcPr>
            <w:tcW w:w="10517" w:type="dxa"/>
          </w:tcPr>
          <w:p w14:paraId="506CDC2E" w14:textId="77777777" w:rsidR="00275E6C" w:rsidRPr="00275E6C" w:rsidRDefault="00275E6C" w:rsidP="00275E6C">
            <w:pPr>
              <w:pStyle w:val="ListParagraph"/>
              <w:numPr>
                <w:ilvl w:val="0"/>
                <w:numId w:val="20"/>
              </w:numPr>
              <w:rPr>
                <w:rFonts w:cs="Arial"/>
              </w:rPr>
            </w:pPr>
            <w:r w:rsidRPr="00275E6C">
              <w:rPr>
                <w:rFonts w:cs="Arial"/>
              </w:rPr>
              <w:t>Laborie needle</w:t>
            </w:r>
          </w:p>
          <w:p w14:paraId="7B47AA52" w14:textId="77777777" w:rsidR="00275E6C" w:rsidRPr="00275E6C" w:rsidRDefault="00275E6C" w:rsidP="00275E6C">
            <w:pPr>
              <w:pStyle w:val="ListParagraph"/>
              <w:numPr>
                <w:ilvl w:val="0"/>
                <w:numId w:val="20"/>
              </w:numPr>
              <w:rPr>
                <w:rFonts w:cs="Arial"/>
              </w:rPr>
            </w:pPr>
            <w:r w:rsidRPr="00275E6C">
              <w:rPr>
                <w:rFonts w:cs="Arial"/>
              </w:rPr>
              <w:t xml:space="preserve">200 units </w:t>
            </w:r>
            <w:proofErr w:type="spellStart"/>
            <w:r w:rsidRPr="00275E6C">
              <w:rPr>
                <w:rFonts w:cs="Arial"/>
              </w:rPr>
              <w:t>botox</w:t>
            </w:r>
            <w:proofErr w:type="spellEnd"/>
          </w:p>
          <w:p w14:paraId="075E1549" w14:textId="77777777" w:rsidR="00275E6C" w:rsidRPr="00275E6C" w:rsidRDefault="00275E6C" w:rsidP="00275E6C">
            <w:pPr>
              <w:pStyle w:val="ListParagraph"/>
              <w:numPr>
                <w:ilvl w:val="0"/>
                <w:numId w:val="20"/>
              </w:numPr>
              <w:rPr>
                <w:rFonts w:cs="Arial"/>
              </w:rPr>
            </w:pPr>
            <w:r w:rsidRPr="00275E6C">
              <w:rPr>
                <w:rFonts w:cs="Arial"/>
              </w:rPr>
              <w:t>1%lidocaine without epi 50-60 cc</w:t>
            </w:r>
          </w:p>
          <w:p w14:paraId="3F6350FC" w14:textId="77777777" w:rsidR="00275E6C" w:rsidRPr="00275E6C" w:rsidRDefault="00275E6C" w:rsidP="00275E6C">
            <w:pPr>
              <w:pStyle w:val="ListParagraph"/>
              <w:numPr>
                <w:ilvl w:val="0"/>
                <w:numId w:val="20"/>
              </w:numPr>
              <w:rPr>
                <w:rFonts w:cs="Arial"/>
              </w:rPr>
            </w:pPr>
            <w:r w:rsidRPr="00275E6C">
              <w:rPr>
                <w:rFonts w:cs="Arial"/>
              </w:rPr>
              <w:t xml:space="preserve">8.4% sodium bicarbonate- 8 </w:t>
            </w:r>
            <w:proofErr w:type="gramStart"/>
            <w:r w:rsidRPr="00275E6C">
              <w:rPr>
                <w:rFonts w:cs="Arial"/>
              </w:rPr>
              <w:t>cc</w:t>
            </w:r>
            <w:proofErr w:type="gramEnd"/>
            <w:r w:rsidRPr="00275E6C">
              <w:rPr>
                <w:rFonts w:cs="Arial"/>
              </w:rPr>
              <w:t xml:space="preserve"> </w:t>
            </w:r>
          </w:p>
          <w:p w14:paraId="6026A79D" w14:textId="77777777" w:rsidR="00275E6C" w:rsidRPr="00275E6C" w:rsidRDefault="00275E6C" w:rsidP="00275E6C">
            <w:pPr>
              <w:pStyle w:val="ListParagraph"/>
              <w:numPr>
                <w:ilvl w:val="0"/>
                <w:numId w:val="20"/>
              </w:numPr>
              <w:rPr>
                <w:rFonts w:cs="Arial"/>
              </w:rPr>
            </w:pPr>
            <w:r w:rsidRPr="00275E6C">
              <w:rPr>
                <w:rFonts w:cs="Arial"/>
              </w:rPr>
              <w:t xml:space="preserve">Red rubber catheter </w:t>
            </w:r>
          </w:p>
          <w:p w14:paraId="45F92A98" w14:textId="77777777" w:rsidR="00275E6C" w:rsidRPr="00275E6C" w:rsidRDefault="00275E6C" w:rsidP="00275E6C">
            <w:pPr>
              <w:pStyle w:val="ListParagraph"/>
              <w:numPr>
                <w:ilvl w:val="0"/>
                <w:numId w:val="20"/>
              </w:numPr>
              <w:rPr>
                <w:rFonts w:cs="Arial"/>
              </w:rPr>
            </w:pPr>
            <w:r w:rsidRPr="00275E6C">
              <w:rPr>
                <w:rFonts w:cs="Arial"/>
              </w:rPr>
              <w:t xml:space="preserve">60 cc catheter tipped </w:t>
            </w:r>
            <w:proofErr w:type="gramStart"/>
            <w:r w:rsidRPr="00275E6C">
              <w:rPr>
                <w:rFonts w:cs="Arial"/>
              </w:rPr>
              <w:t>syringe</w:t>
            </w:r>
            <w:proofErr w:type="gramEnd"/>
            <w:r w:rsidRPr="00275E6C">
              <w:rPr>
                <w:rFonts w:cs="Arial"/>
              </w:rPr>
              <w:t xml:space="preserve"> </w:t>
            </w:r>
          </w:p>
          <w:p w14:paraId="02E3ED07" w14:textId="77777777" w:rsidR="00275E6C" w:rsidRPr="00275E6C" w:rsidRDefault="00275E6C" w:rsidP="00275E6C">
            <w:pPr>
              <w:pStyle w:val="ListParagraph"/>
              <w:numPr>
                <w:ilvl w:val="0"/>
                <w:numId w:val="20"/>
              </w:numPr>
              <w:rPr>
                <w:rFonts w:cs="Arial"/>
              </w:rPr>
            </w:pPr>
            <w:r w:rsidRPr="00275E6C">
              <w:rPr>
                <w:rFonts w:cs="Arial"/>
              </w:rPr>
              <w:t xml:space="preserve">Two 10 cc syringes sterile 0.9 normal saline </w:t>
            </w:r>
          </w:p>
          <w:p w14:paraId="7D08D6EB" w14:textId="77777777" w:rsidR="00275E6C" w:rsidRPr="00275E6C" w:rsidRDefault="00275E6C" w:rsidP="00275E6C">
            <w:pPr>
              <w:pStyle w:val="ListParagraph"/>
              <w:numPr>
                <w:ilvl w:val="0"/>
                <w:numId w:val="20"/>
              </w:numPr>
              <w:rPr>
                <w:rFonts w:cs="Arial"/>
              </w:rPr>
            </w:pPr>
            <w:r w:rsidRPr="00275E6C">
              <w:rPr>
                <w:rFonts w:cs="Arial"/>
              </w:rPr>
              <w:t xml:space="preserve">Large gauge needle to draw up </w:t>
            </w:r>
            <w:proofErr w:type="spellStart"/>
            <w:proofErr w:type="gramStart"/>
            <w:r w:rsidRPr="00275E6C">
              <w:rPr>
                <w:rFonts w:cs="Arial"/>
              </w:rPr>
              <w:t>botox</w:t>
            </w:r>
            <w:proofErr w:type="spellEnd"/>
            <w:proofErr w:type="gramEnd"/>
            <w:r w:rsidRPr="00275E6C">
              <w:rPr>
                <w:rFonts w:cs="Arial"/>
              </w:rPr>
              <w:t xml:space="preserve"> </w:t>
            </w:r>
          </w:p>
          <w:p w14:paraId="5729EA1C" w14:textId="77777777" w:rsidR="00275E6C" w:rsidRPr="00275E6C" w:rsidRDefault="00275E6C" w:rsidP="00275E6C">
            <w:pPr>
              <w:pStyle w:val="ListParagraph"/>
              <w:numPr>
                <w:ilvl w:val="0"/>
                <w:numId w:val="20"/>
              </w:numPr>
              <w:rPr>
                <w:rFonts w:cs="Arial"/>
              </w:rPr>
            </w:pPr>
            <w:r w:rsidRPr="00275E6C">
              <w:rPr>
                <w:rFonts w:cs="Arial"/>
              </w:rPr>
              <w:t>Chucks for patient to sit on</w:t>
            </w:r>
          </w:p>
          <w:p w14:paraId="7E0724EF" w14:textId="77777777" w:rsidR="00275E6C" w:rsidRPr="00275E6C" w:rsidRDefault="00275E6C" w:rsidP="00275E6C">
            <w:pPr>
              <w:pStyle w:val="ListParagraph"/>
              <w:numPr>
                <w:ilvl w:val="0"/>
                <w:numId w:val="20"/>
              </w:numPr>
              <w:rPr>
                <w:rFonts w:cs="Arial"/>
              </w:rPr>
            </w:pPr>
            <w:r w:rsidRPr="00275E6C">
              <w:rPr>
                <w:rFonts w:cs="Arial"/>
              </w:rPr>
              <w:t xml:space="preserve">Paper half sheet to cover </w:t>
            </w:r>
            <w:proofErr w:type="gramStart"/>
            <w:r w:rsidRPr="00275E6C">
              <w:rPr>
                <w:rFonts w:cs="Arial"/>
              </w:rPr>
              <w:t>patient</w:t>
            </w:r>
            <w:proofErr w:type="gramEnd"/>
            <w:r w:rsidRPr="00275E6C">
              <w:rPr>
                <w:rFonts w:cs="Arial"/>
              </w:rPr>
              <w:t xml:space="preserve"> </w:t>
            </w:r>
          </w:p>
          <w:p w14:paraId="7320F32F" w14:textId="77777777" w:rsidR="00275E6C" w:rsidRPr="00275E6C" w:rsidRDefault="00275E6C" w:rsidP="00275E6C">
            <w:pPr>
              <w:pStyle w:val="ListParagraph"/>
              <w:numPr>
                <w:ilvl w:val="0"/>
                <w:numId w:val="20"/>
              </w:numPr>
              <w:rPr>
                <w:rFonts w:cs="Arial"/>
              </w:rPr>
            </w:pPr>
            <w:r w:rsidRPr="00275E6C">
              <w:rPr>
                <w:rFonts w:cs="Arial"/>
              </w:rPr>
              <w:t xml:space="preserve">Urine cup to send urine </w:t>
            </w:r>
            <w:proofErr w:type="gramStart"/>
            <w:r w:rsidRPr="00275E6C">
              <w:rPr>
                <w:rFonts w:cs="Arial"/>
              </w:rPr>
              <w:t>culture</w:t>
            </w:r>
            <w:proofErr w:type="gramEnd"/>
            <w:r w:rsidRPr="00275E6C">
              <w:rPr>
                <w:rFonts w:cs="Arial"/>
              </w:rPr>
              <w:t xml:space="preserve"> </w:t>
            </w:r>
          </w:p>
          <w:p w14:paraId="521E56C5" w14:textId="77777777" w:rsidR="00275E6C" w:rsidRPr="00275E6C" w:rsidRDefault="00275E6C" w:rsidP="00275E6C">
            <w:pPr>
              <w:pStyle w:val="ListParagraph"/>
              <w:numPr>
                <w:ilvl w:val="0"/>
                <w:numId w:val="20"/>
              </w:numPr>
              <w:rPr>
                <w:rFonts w:cs="Arial"/>
              </w:rPr>
            </w:pPr>
            <w:proofErr w:type="spellStart"/>
            <w:r w:rsidRPr="00275E6C">
              <w:rPr>
                <w:rFonts w:cs="Arial"/>
              </w:rPr>
              <w:t>Urojet</w:t>
            </w:r>
            <w:proofErr w:type="spellEnd"/>
            <w:r w:rsidRPr="00275E6C">
              <w:rPr>
                <w:rFonts w:cs="Arial"/>
              </w:rPr>
              <w:t xml:space="preserve"> and penile clamp for male patients</w:t>
            </w:r>
          </w:p>
          <w:p w14:paraId="70F3B7C7" w14:textId="77777777" w:rsidR="00275E6C" w:rsidRPr="00275E6C" w:rsidRDefault="00275E6C" w:rsidP="00275E6C">
            <w:pPr>
              <w:pStyle w:val="ListParagraph"/>
              <w:numPr>
                <w:ilvl w:val="0"/>
                <w:numId w:val="20"/>
              </w:numPr>
              <w:rPr>
                <w:rFonts w:cs="Arial"/>
              </w:rPr>
            </w:pPr>
            <w:r w:rsidRPr="00275E6C">
              <w:rPr>
                <w:rFonts w:cs="Arial"/>
              </w:rPr>
              <w:t>Flexible cystoscope (with Y port for instrument insertion if disposable scope)</w:t>
            </w:r>
          </w:p>
          <w:p w14:paraId="50DE42EE" w14:textId="77777777" w:rsidR="00275E6C" w:rsidRPr="00275E6C" w:rsidRDefault="00275E6C" w:rsidP="00275E6C">
            <w:pPr>
              <w:pStyle w:val="ListParagraph"/>
              <w:numPr>
                <w:ilvl w:val="0"/>
                <w:numId w:val="20"/>
              </w:numPr>
              <w:rPr>
                <w:rFonts w:cs="Arial"/>
              </w:rPr>
            </w:pPr>
            <w:r w:rsidRPr="00275E6C">
              <w:rPr>
                <w:rFonts w:cs="Arial"/>
              </w:rPr>
              <w:t>250 or 500 cc sterile fluid bag (normal saline or sterile water both fine)</w:t>
            </w:r>
          </w:p>
          <w:p w14:paraId="79BA8531" w14:textId="77777777" w:rsidR="00275E6C" w:rsidRPr="00275E6C" w:rsidRDefault="00275E6C" w:rsidP="00275E6C">
            <w:pPr>
              <w:pStyle w:val="ListParagraph"/>
              <w:numPr>
                <w:ilvl w:val="0"/>
                <w:numId w:val="20"/>
              </w:numPr>
              <w:rPr>
                <w:rFonts w:cs="Arial"/>
              </w:rPr>
            </w:pPr>
            <w:proofErr w:type="spellStart"/>
            <w:r w:rsidRPr="00275E6C">
              <w:rPr>
                <w:rFonts w:cs="Arial"/>
              </w:rPr>
              <w:t>Cysto</w:t>
            </w:r>
            <w:proofErr w:type="spellEnd"/>
            <w:r w:rsidRPr="00275E6C">
              <w:rPr>
                <w:rFonts w:cs="Arial"/>
              </w:rPr>
              <w:t xml:space="preserve"> tubing </w:t>
            </w:r>
          </w:p>
          <w:p w14:paraId="06745340" w14:textId="039495C0" w:rsidR="009E4BEC" w:rsidRPr="00646C29" w:rsidRDefault="00275E6C" w:rsidP="00275E6C">
            <w:pPr>
              <w:pStyle w:val="ListParagraph"/>
              <w:numPr>
                <w:ilvl w:val="0"/>
                <w:numId w:val="20"/>
              </w:numPr>
              <w:rPr>
                <w:rFonts w:cs="Arial"/>
                <w:sz w:val="24"/>
                <w:szCs w:val="24"/>
              </w:rPr>
            </w:pPr>
            <w:r w:rsidRPr="00275E6C">
              <w:rPr>
                <w:rFonts w:cs="Arial"/>
              </w:rPr>
              <w:t>Urine hat for females and urinal for males (unless they sit to void)</w:t>
            </w:r>
          </w:p>
        </w:tc>
      </w:tr>
      <w:tr w:rsidR="004D00A2" w:rsidRPr="00965560" w14:paraId="082D9508" w14:textId="77777777" w:rsidTr="00473C32">
        <w:trPr>
          <w:trHeight w:val="83"/>
        </w:trPr>
        <w:tc>
          <w:tcPr>
            <w:tcW w:w="10517" w:type="dxa"/>
          </w:tcPr>
          <w:p w14:paraId="1E10DE51" w14:textId="77777777" w:rsidR="004D00A2" w:rsidRPr="000330E8" w:rsidRDefault="00927C5E" w:rsidP="00927C5E">
            <w:pPr>
              <w:rPr>
                <w:rFonts w:cs="Arial"/>
                <w:b/>
                <w:sz w:val="28"/>
                <w:szCs w:val="28"/>
              </w:rPr>
            </w:pPr>
            <w:r w:rsidRPr="000330E8">
              <w:rPr>
                <w:rFonts w:cs="Arial"/>
                <w:b/>
                <w:sz w:val="28"/>
                <w:szCs w:val="28"/>
              </w:rPr>
              <w:t xml:space="preserve"> </w:t>
            </w:r>
            <w:r w:rsidR="004C55D2" w:rsidRPr="000330E8">
              <w:rPr>
                <w:rFonts w:cs="Arial"/>
                <w:b/>
                <w:sz w:val="28"/>
                <w:szCs w:val="28"/>
              </w:rPr>
              <w:t>B.</w:t>
            </w:r>
            <w:r w:rsidR="00EB4FDF" w:rsidRPr="000330E8">
              <w:rPr>
                <w:rFonts w:cs="Arial"/>
                <w:b/>
                <w:sz w:val="28"/>
                <w:szCs w:val="28"/>
              </w:rPr>
              <w:t xml:space="preserve"> Before Instillation</w:t>
            </w:r>
          </w:p>
        </w:tc>
      </w:tr>
      <w:tr w:rsidR="00EB4FDF" w:rsidRPr="00965560" w14:paraId="73D462CE" w14:textId="77777777" w:rsidTr="00473C32">
        <w:trPr>
          <w:trHeight w:val="83"/>
        </w:trPr>
        <w:tc>
          <w:tcPr>
            <w:tcW w:w="10517" w:type="dxa"/>
          </w:tcPr>
          <w:p w14:paraId="77E5586D" w14:textId="77777777" w:rsidR="00275E6C" w:rsidRDefault="00275E6C" w:rsidP="00EB4FDF">
            <w:pPr>
              <w:pStyle w:val="ListParagraph"/>
              <w:numPr>
                <w:ilvl w:val="0"/>
                <w:numId w:val="15"/>
              </w:numPr>
              <w:rPr>
                <w:rFonts w:cs="Arial"/>
                <w:sz w:val="24"/>
                <w:szCs w:val="24"/>
              </w:rPr>
            </w:pPr>
            <w:r w:rsidRPr="00275E6C">
              <w:rPr>
                <w:rFonts w:cs="Arial"/>
                <w:sz w:val="24"/>
                <w:szCs w:val="24"/>
              </w:rPr>
              <w:t xml:space="preserve">All patients should have a pre-procedure urine culture within 4 weeks, no symptoms of a UTI or acute symptom changes since last seen and/or clear urine on day of </w:t>
            </w:r>
            <w:proofErr w:type="gramStart"/>
            <w:r w:rsidRPr="00275E6C">
              <w:rPr>
                <w:rFonts w:cs="Arial"/>
                <w:sz w:val="24"/>
                <w:szCs w:val="24"/>
              </w:rPr>
              <w:t>procedure</w:t>
            </w:r>
            <w:proofErr w:type="gramEnd"/>
            <w:r w:rsidRPr="00275E6C">
              <w:rPr>
                <w:rFonts w:cs="Arial"/>
                <w:sz w:val="24"/>
                <w:szCs w:val="24"/>
              </w:rPr>
              <w:t xml:space="preserve"> </w:t>
            </w:r>
          </w:p>
          <w:p w14:paraId="24DDAF49" w14:textId="26A73692" w:rsidR="0092597E" w:rsidRPr="00646C29" w:rsidRDefault="0092597E" w:rsidP="00EB4FDF">
            <w:pPr>
              <w:pStyle w:val="ListParagraph"/>
              <w:numPr>
                <w:ilvl w:val="0"/>
                <w:numId w:val="15"/>
              </w:numPr>
              <w:rPr>
                <w:rFonts w:cs="Arial"/>
                <w:sz w:val="24"/>
                <w:szCs w:val="24"/>
              </w:rPr>
            </w:pPr>
            <w:r w:rsidRPr="00646C29">
              <w:rPr>
                <w:rFonts w:cs="Arial"/>
                <w:sz w:val="24"/>
                <w:szCs w:val="24"/>
              </w:rPr>
              <w:t>Check vital signs.</w:t>
            </w:r>
          </w:p>
          <w:p w14:paraId="75070566" w14:textId="43ACE70D" w:rsidR="00064A7D" w:rsidRPr="0074433C" w:rsidRDefault="00064A7D" w:rsidP="00064A7D">
            <w:pPr>
              <w:pStyle w:val="ListParagraph"/>
              <w:numPr>
                <w:ilvl w:val="0"/>
                <w:numId w:val="15"/>
              </w:numPr>
              <w:rPr>
                <w:rFonts w:cs="Arial"/>
                <w:sz w:val="24"/>
                <w:szCs w:val="24"/>
              </w:rPr>
            </w:pPr>
            <w:r w:rsidRPr="00646C29">
              <w:rPr>
                <w:rFonts w:cs="Arial"/>
                <w:sz w:val="24"/>
                <w:szCs w:val="24"/>
              </w:rPr>
              <w:lastRenderedPageBreak/>
              <w:t xml:space="preserve">Assess patient for any reports of </w:t>
            </w:r>
            <w:r w:rsidR="00DA7554">
              <w:rPr>
                <w:rFonts w:cs="Arial"/>
                <w:sz w:val="24"/>
                <w:szCs w:val="24"/>
              </w:rPr>
              <w:t xml:space="preserve">current </w:t>
            </w:r>
            <w:r w:rsidRPr="00646C29">
              <w:rPr>
                <w:rFonts w:cs="Arial"/>
                <w:sz w:val="24"/>
                <w:szCs w:val="24"/>
              </w:rPr>
              <w:t>fever, chills</w:t>
            </w:r>
            <w:r w:rsidRPr="0074433C">
              <w:rPr>
                <w:rFonts w:cs="Arial"/>
                <w:sz w:val="24"/>
                <w:szCs w:val="24"/>
              </w:rPr>
              <w:t xml:space="preserve">, </w:t>
            </w:r>
            <w:proofErr w:type="gramStart"/>
            <w:r w:rsidRPr="0074433C">
              <w:rPr>
                <w:rFonts w:cs="Arial"/>
                <w:sz w:val="24"/>
                <w:szCs w:val="24"/>
              </w:rPr>
              <w:t>signs</w:t>
            </w:r>
            <w:proofErr w:type="gramEnd"/>
            <w:r w:rsidRPr="0074433C">
              <w:rPr>
                <w:rFonts w:cs="Arial"/>
                <w:sz w:val="24"/>
                <w:szCs w:val="24"/>
              </w:rPr>
              <w:t xml:space="preserve"> and symptoms of </w:t>
            </w:r>
            <w:r w:rsidR="00CE456F" w:rsidRPr="0074433C">
              <w:rPr>
                <w:rFonts w:cs="Arial"/>
                <w:sz w:val="24"/>
                <w:szCs w:val="24"/>
                <w:u w:val="single"/>
              </w:rPr>
              <w:t>current</w:t>
            </w:r>
            <w:r w:rsidR="00CE456F" w:rsidRPr="0074433C">
              <w:rPr>
                <w:rFonts w:cs="Arial"/>
                <w:sz w:val="24"/>
                <w:szCs w:val="24"/>
              </w:rPr>
              <w:t xml:space="preserve"> </w:t>
            </w:r>
            <w:r w:rsidRPr="0074433C">
              <w:rPr>
                <w:rFonts w:cs="Arial"/>
                <w:sz w:val="24"/>
                <w:szCs w:val="24"/>
              </w:rPr>
              <w:t xml:space="preserve">UTI </w:t>
            </w:r>
            <w:r w:rsidR="00CE456F" w:rsidRPr="0074433C">
              <w:rPr>
                <w:rFonts w:cs="Arial"/>
                <w:sz w:val="24"/>
                <w:szCs w:val="24"/>
              </w:rPr>
              <w:t xml:space="preserve">(dysuria, new frequency, urgency </w:t>
            </w:r>
            <w:r w:rsidRPr="0074433C">
              <w:rPr>
                <w:rFonts w:cs="Arial"/>
                <w:sz w:val="24"/>
                <w:szCs w:val="24"/>
              </w:rPr>
              <w:t>or hematuria</w:t>
            </w:r>
            <w:r w:rsidR="00CE456F" w:rsidRPr="0074433C">
              <w:rPr>
                <w:rFonts w:cs="Arial"/>
                <w:sz w:val="24"/>
                <w:szCs w:val="24"/>
              </w:rPr>
              <w:t>).</w:t>
            </w:r>
          </w:p>
          <w:p w14:paraId="0870696C" w14:textId="77777777" w:rsidR="00DA7554" w:rsidRPr="0074433C" w:rsidRDefault="00DA7554" w:rsidP="00DA7554">
            <w:pPr>
              <w:pStyle w:val="ListParagraph"/>
              <w:numPr>
                <w:ilvl w:val="0"/>
                <w:numId w:val="23"/>
              </w:numPr>
              <w:rPr>
                <w:rFonts w:cs="Arial"/>
                <w:sz w:val="24"/>
                <w:szCs w:val="24"/>
              </w:rPr>
            </w:pPr>
            <w:r w:rsidRPr="0074433C">
              <w:rPr>
                <w:rFonts w:cs="Arial"/>
                <w:sz w:val="24"/>
                <w:szCs w:val="24"/>
              </w:rPr>
              <w:t xml:space="preserve">Notify provider if concern for active </w:t>
            </w:r>
            <w:proofErr w:type="gramStart"/>
            <w:r w:rsidRPr="0074433C">
              <w:rPr>
                <w:rFonts w:cs="Arial"/>
                <w:sz w:val="24"/>
                <w:szCs w:val="24"/>
              </w:rPr>
              <w:t>infection</w:t>
            </w:r>
            <w:proofErr w:type="gramEnd"/>
          </w:p>
          <w:p w14:paraId="2824C8F7" w14:textId="1527DD9D" w:rsidR="00CE456F" w:rsidRPr="0074433C" w:rsidRDefault="00DA7554" w:rsidP="00DA7554">
            <w:pPr>
              <w:pStyle w:val="ListParagraph"/>
              <w:numPr>
                <w:ilvl w:val="0"/>
                <w:numId w:val="23"/>
              </w:numPr>
              <w:rPr>
                <w:rFonts w:cs="Arial"/>
                <w:sz w:val="24"/>
                <w:szCs w:val="24"/>
              </w:rPr>
            </w:pPr>
            <w:r w:rsidRPr="0074433C">
              <w:rPr>
                <w:rFonts w:cs="Arial"/>
                <w:sz w:val="24"/>
                <w:szCs w:val="24"/>
              </w:rPr>
              <w:t xml:space="preserve">Send urine for U/A and </w:t>
            </w:r>
            <w:proofErr w:type="gramStart"/>
            <w:r w:rsidRPr="0074433C">
              <w:rPr>
                <w:rFonts w:cs="Arial"/>
                <w:sz w:val="24"/>
                <w:szCs w:val="24"/>
              </w:rPr>
              <w:t>culture</w:t>
            </w:r>
            <w:proofErr w:type="gramEnd"/>
            <w:r w:rsidRPr="0074433C">
              <w:rPr>
                <w:rFonts w:cs="Arial"/>
                <w:sz w:val="24"/>
                <w:szCs w:val="24"/>
              </w:rPr>
              <w:t xml:space="preserve">   </w:t>
            </w:r>
          </w:p>
          <w:p w14:paraId="6499C323" w14:textId="77777777" w:rsidR="00275E6C" w:rsidRPr="00275E6C" w:rsidRDefault="00275E6C" w:rsidP="00275E6C">
            <w:pPr>
              <w:pStyle w:val="ListParagraph"/>
              <w:numPr>
                <w:ilvl w:val="0"/>
                <w:numId w:val="15"/>
              </w:numPr>
              <w:rPr>
                <w:rFonts w:cs="Arial"/>
                <w:sz w:val="24"/>
                <w:szCs w:val="24"/>
              </w:rPr>
            </w:pPr>
            <w:r w:rsidRPr="00275E6C">
              <w:rPr>
                <w:rFonts w:cs="Arial"/>
                <w:sz w:val="24"/>
                <w:szCs w:val="24"/>
              </w:rPr>
              <w:t xml:space="preserve">prepare 60 cc 1%lidocaine without mixed with 8 cc 8.4%sodium </w:t>
            </w:r>
            <w:proofErr w:type="gramStart"/>
            <w:r w:rsidRPr="00275E6C">
              <w:rPr>
                <w:rFonts w:cs="Arial"/>
                <w:sz w:val="24"/>
                <w:szCs w:val="24"/>
              </w:rPr>
              <w:t>bicarbonate</w:t>
            </w:r>
            <w:proofErr w:type="gramEnd"/>
            <w:r w:rsidRPr="00275E6C">
              <w:rPr>
                <w:rFonts w:cs="Arial"/>
                <w:sz w:val="24"/>
                <w:szCs w:val="24"/>
              </w:rPr>
              <w:t xml:space="preserve"> </w:t>
            </w:r>
          </w:p>
          <w:p w14:paraId="79E0147E" w14:textId="76582C8A" w:rsidR="00275E6C" w:rsidRPr="00275E6C" w:rsidRDefault="00275E6C" w:rsidP="00275E6C">
            <w:pPr>
              <w:pStyle w:val="ListParagraph"/>
              <w:numPr>
                <w:ilvl w:val="0"/>
                <w:numId w:val="15"/>
              </w:numPr>
              <w:rPr>
                <w:rFonts w:cs="Arial"/>
                <w:sz w:val="24"/>
                <w:szCs w:val="24"/>
              </w:rPr>
            </w:pPr>
            <w:r w:rsidRPr="00275E6C">
              <w:rPr>
                <w:rFonts w:cs="Arial"/>
                <w:sz w:val="24"/>
                <w:szCs w:val="24"/>
              </w:rPr>
              <w:t xml:space="preserve">patient then prepped in usual sterile </w:t>
            </w:r>
            <w:proofErr w:type="gramStart"/>
            <w:r w:rsidRPr="00275E6C">
              <w:rPr>
                <w:rFonts w:cs="Arial"/>
                <w:sz w:val="24"/>
                <w:szCs w:val="24"/>
              </w:rPr>
              <w:t>fashion</w:t>
            </w:r>
            <w:proofErr w:type="gramEnd"/>
            <w:r w:rsidRPr="00275E6C">
              <w:rPr>
                <w:rFonts w:cs="Arial"/>
                <w:sz w:val="24"/>
                <w:szCs w:val="24"/>
              </w:rPr>
              <w:t xml:space="preserve"> </w:t>
            </w:r>
          </w:p>
          <w:p w14:paraId="247F0C81" w14:textId="2FB1B0A1" w:rsidR="00275E6C" w:rsidRPr="00275E6C" w:rsidRDefault="00275E6C" w:rsidP="00275E6C">
            <w:pPr>
              <w:pStyle w:val="ListParagraph"/>
              <w:numPr>
                <w:ilvl w:val="0"/>
                <w:numId w:val="15"/>
              </w:numPr>
              <w:rPr>
                <w:rFonts w:cs="Arial"/>
                <w:sz w:val="24"/>
                <w:szCs w:val="24"/>
              </w:rPr>
            </w:pPr>
            <w:r w:rsidRPr="00275E6C">
              <w:rPr>
                <w:rFonts w:cs="Arial"/>
                <w:sz w:val="24"/>
                <w:szCs w:val="24"/>
              </w:rPr>
              <w:t xml:space="preserve">patient then straight </w:t>
            </w:r>
            <w:proofErr w:type="spellStart"/>
            <w:r w:rsidRPr="00275E6C">
              <w:rPr>
                <w:rFonts w:cs="Arial"/>
                <w:sz w:val="24"/>
                <w:szCs w:val="24"/>
              </w:rPr>
              <w:t>cath'ed</w:t>
            </w:r>
            <w:proofErr w:type="spellEnd"/>
            <w:r w:rsidRPr="00275E6C">
              <w:rPr>
                <w:rFonts w:cs="Arial"/>
                <w:sz w:val="24"/>
                <w:szCs w:val="24"/>
              </w:rPr>
              <w:t xml:space="preserve"> for PVR AND urine specimen. Send urine for culture.  If urine visibly clear ok to proceed. If urine cloudy, pause and MD will review.</w:t>
            </w:r>
          </w:p>
          <w:p w14:paraId="390F658A" w14:textId="4ED1EC20" w:rsidR="00275E6C" w:rsidRPr="00275E6C" w:rsidRDefault="00275E6C" w:rsidP="00275E6C">
            <w:pPr>
              <w:pStyle w:val="ListParagraph"/>
              <w:numPr>
                <w:ilvl w:val="0"/>
                <w:numId w:val="15"/>
              </w:numPr>
              <w:rPr>
                <w:rFonts w:cs="Arial"/>
                <w:sz w:val="24"/>
                <w:szCs w:val="24"/>
              </w:rPr>
            </w:pPr>
            <w:r w:rsidRPr="00275E6C">
              <w:rPr>
                <w:rFonts w:cs="Arial"/>
                <w:sz w:val="24"/>
                <w:szCs w:val="24"/>
              </w:rPr>
              <w:t xml:space="preserve">if urine clear, through the catheter install the previously mixed lidocaine and bicarbonate mixture into the bladder and remove catheter leaving the mixture in the bladder (install 30-60 ccs based on </w:t>
            </w:r>
            <w:proofErr w:type="gramStart"/>
            <w:r w:rsidRPr="00275E6C">
              <w:rPr>
                <w:rFonts w:cs="Arial"/>
                <w:sz w:val="24"/>
                <w:szCs w:val="24"/>
              </w:rPr>
              <w:t>patients</w:t>
            </w:r>
            <w:proofErr w:type="gramEnd"/>
            <w:r w:rsidRPr="00275E6C">
              <w:rPr>
                <w:rFonts w:cs="Arial"/>
                <w:sz w:val="24"/>
                <w:szCs w:val="24"/>
              </w:rPr>
              <w:t xml:space="preserve"> sense of fullness)</w:t>
            </w:r>
          </w:p>
          <w:p w14:paraId="1EB72D36" w14:textId="665C6715" w:rsidR="00275E6C" w:rsidRPr="00275E6C" w:rsidRDefault="00275E6C" w:rsidP="00275E6C">
            <w:pPr>
              <w:pStyle w:val="ListParagraph"/>
              <w:numPr>
                <w:ilvl w:val="0"/>
                <w:numId w:val="15"/>
              </w:numPr>
              <w:rPr>
                <w:rFonts w:cs="Arial"/>
                <w:sz w:val="24"/>
                <w:szCs w:val="24"/>
              </w:rPr>
            </w:pPr>
            <w:r w:rsidRPr="00275E6C">
              <w:rPr>
                <w:rFonts w:cs="Arial"/>
                <w:sz w:val="24"/>
                <w:szCs w:val="24"/>
              </w:rPr>
              <w:t xml:space="preserve">lidocaine bicarbonate needs a </w:t>
            </w:r>
            <w:proofErr w:type="gramStart"/>
            <w:r w:rsidRPr="00275E6C">
              <w:rPr>
                <w:rFonts w:cs="Arial"/>
                <w:sz w:val="24"/>
                <w:szCs w:val="24"/>
              </w:rPr>
              <w:t>15 minute</w:t>
            </w:r>
            <w:proofErr w:type="gramEnd"/>
            <w:r w:rsidRPr="00275E6C">
              <w:rPr>
                <w:rFonts w:cs="Arial"/>
                <w:sz w:val="24"/>
                <w:szCs w:val="24"/>
              </w:rPr>
              <w:t xml:space="preserve"> minimal dwell time for bladder analgesia.</w:t>
            </w:r>
          </w:p>
          <w:p w14:paraId="29671D1B" w14:textId="01EB7A35" w:rsidR="006411EA" w:rsidRPr="00646C29" w:rsidRDefault="00275E6C" w:rsidP="00275E6C">
            <w:pPr>
              <w:pStyle w:val="ListParagraph"/>
              <w:numPr>
                <w:ilvl w:val="0"/>
                <w:numId w:val="15"/>
              </w:numPr>
              <w:rPr>
                <w:rFonts w:cs="Arial"/>
                <w:sz w:val="24"/>
                <w:szCs w:val="24"/>
              </w:rPr>
            </w:pPr>
            <w:r w:rsidRPr="00275E6C">
              <w:rPr>
                <w:rFonts w:cs="Arial"/>
                <w:sz w:val="24"/>
                <w:szCs w:val="24"/>
              </w:rPr>
              <w:t xml:space="preserve">for male patients, a </w:t>
            </w:r>
            <w:proofErr w:type="spellStart"/>
            <w:r w:rsidRPr="00275E6C">
              <w:rPr>
                <w:rFonts w:cs="Arial"/>
                <w:sz w:val="24"/>
                <w:szCs w:val="24"/>
              </w:rPr>
              <w:t>urojet</w:t>
            </w:r>
            <w:proofErr w:type="spellEnd"/>
            <w:r w:rsidRPr="00275E6C">
              <w:rPr>
                <w:rFonts w:cs="Arial"/>
                <w:sz w:val="24"/>
                <w:szCs w:val="24"/>
              </w:rPr>
              <w:t xml:space="preserve"> can now be installed into the urethra and penile clamp applied for urethral</w:t>
            </w:r>
          </w:p>
        </w:tc>
      </w:tr>
      <w:tr w:rsidR="009E4BEC" w:rsidRPr="00965560" w14:paraId="59B4A07C" w14:textId="77777777" w:rsidTr="00473C32">
        <w:trPr>
          <w:trHeight w:val="83"/>
        </w:trPr>
        <w:tc>
          <w:tcPr>
            <w:tcW w:w="10517" w:type="dxa"/>
          </w:tcPr>
          <w:p w14:paraId="35DF7C69" w14:textId="41BBF41B" w:rsidR="009E4BEC" w:rsidRPr="000330E8" w:rsidRDefault="009E4BEC" w:rsidP="009E4BEC">
            <w:pPr>
              <w:rPr>
                <w:rFonts w:cs="Arial"/>
                <w:b/>
                <w:sz w:val="28"/>
                <w:szCs w:val="28"/>
              </w:rPr>
            </w:pPr>
            <w:r w:rsidRPr="000330E8">
              <w:rPr>
                <w:rFonts w:cs="Arial"/>
                <w:b/>
                <w:sz w:val="28"/>
                <w:szCs w:val="28"/>
              </w:rPr>
              <w:lastRenderedPageBreak/>
              <w:t>C. Instillation</w:t>
            </w:r>
          </w:p>
        </w:tc>
      </w:tr>
      <w:tr w:rsidR="004D00A2" w:rsidRPr="00965560" w14:paraId="1FD99385" w14:textId="77777777" w:rsidTr="00473C32">
        <w:trPr>
          <w:trHeight w:val="83"/>
        </w:trPr>
        <w:tc>
          <w:tcPr>
            <w:tcW w:w="10517" w:type="dxa"/>
          </w:tcPr>
          <w:p w14:paraId="49C281EB" w14:textId="11674C60" w:rsidR="005B2DC4" w:rsidRPr="00646C29" w:rsidRDefault="00064A7D" w:rsidP="005B2DC4">
            <w:pPr>
              <w:pStyle w:val="ListParagraph"/>
              <w:numPr>
                <w:ilvl w:val="0"/>
                <w:numId w:val="8"/>
              </w:numPr>
              <w:rPr>
                <w:rFonts w:cs="Arial"/>
                <w:sz w:val="24"/>
                <w:szCs w:val="24"/>
              </w:rPr>
            </w:pPr>
            <w:r w:rsidRPr="00646C29">
              <w:rPr>
                <w:rFonts w:cs="Arial"/>
                <w:sz w:val="24"/>
                <w:szCs w:val="24"/>
              </w:rPr>
              <w:t xml:space="preserve">Verify </w:t>
            </w:r>
            <w:r w:rsidR="00B82874">
              <w:rPr>
                <w:rFonts w:cs="Arial"/>
                <w:sz w:val="24"/>
                <w:szCs w:val="24"/>
              </w:rPr>
              <w:t>medication</w:t>
            </w:r>
            <w:r w:rsidRPr="00646C29">
              <w:rPr>
                <w:rFonts w:cs="Arial"/>
                <w:sz w:val="24"/>
                <w:szCs w:val="24"/>
              </w:rPr>
              <w:t xml:space="preserve"> order.</w:t>
            </w:r>
          </w:p>
          <w:p w14:paraId="45FF0178" w14:textId="77777777" w:rsidR="005B2DC4" w:rsidRPr="00646C29" w:rsidRDefault="00064A7D" w:rsidP="00FB5CE5">
            <w:pPr>
              <w:pStyle w:val="ListParagraph"/>
              <w:numPr>
                <w:ilvl w:val="0"/>
                <w:numId w:val="8"/>
              </w:numPr>
              <w:rPr>
                <w:rFonts w:cs="Arial"/>
                <w:sz w:val="24"/>
                <w:szCs w:val="24"/>
              </w:rPr>
            </w:pPr>
            <w:r w:rsidRPr="00646C29">
              <w:rPr>
                <w:rFonts w:cs="Arial"/>
                <w:sz w:val="24"/>
                <w:szCs w:val="24"/>
              </w:rPr>
              <w:t>Verify patient’s name and social security or date of birth.</w:t>
            </w:r>
          </w:p>
          <w:p w14:paraId="62E82984" w14:textId="0B02C0E8" w:rsidR="00064A7D" w:rsidRPr="00646C29" w:rsidRDefault="00064A7D" w:rsidP="00064A7D">
            <w:pPr>
              <w:pStyle w:val="ListParagraph"/>
              <w:numPr>
                <w:ilvl w:val="0"/>
                <w:numId w:val="8"/>
              </w:numPr>
              <w:rPr>
                <w:rFonts w:cs="Arial"/>
                <w:sz w:val="24"/>
                <w:szCs w:val="24"/>
              </w:rPr>
            </w:pPr>
            <w:r w:rsidRPr="00646C29">
              <w:rPr>
                <w:rFonts w:cs="Arial"/>
                <w:sz w:val="24"/>
                <w:szCs w:val="24"/>
              </w:rPr>
              <w:t>Explain the procedure to the patient</w:t>
            </w:r>
            <w:r w:rsidR="0092597E">
              <w:rPr>
                <w:rFonts w:cs="Arial"/>
                <w:sz w:val="24"/>
                <w:szCs w:val="24"/>
              </w:rPr>
              <w:t>.</w:t>
            </w:r>
            <w:r w:rsidRPr="00646C29">
              <w:rPr>
                <w:rFonts w:cs="Arial"/>
                <w:sz w:val="24"/>
                <w:szCs w:val="24"/>
              </w:rPr>
              <w:t xml:space="preserve"> Medication should be retained for </w:t>
            </w:r>
            <w:r w:rsidR="00D8483A">
              <w:rPr>
                <w:rFonts w:cs="Arial"/>
                <w:sz w:val="24"/>
                <w:szCs w:val="24"/>
              </w:rPr>
              <w:t>one</w:t>
            </w:r>
            <w:r w:rsidRPr="00646C29">
              <w:rPr>
                <w:rFonts w:cs="Arial"/>
                <w:sz w:val="24"/>
                <w:szCs w:val="24"/>
              </w:rPr>
              <w:t xml:space="preserve"> hour to obtain the best results, however if patient has discomfort, the procedure should be discontinued.  </w:t>
            </w:r>
            <w:r w:rsidR="0092597E">
              <w:rPr>
                <w:rFonts w:cs="Arial"/>
                <w:sz w:val="24"/>
                <w:szCs w:val="24"/>
              </w:rPr>
              <w:t xml:space="preserve">If the patient cannot retain medication for at least 1 hour, the catheter can be left in place </w:t>
            </w:r>
            <w:r w:rsidR="00B82874">
              <w:rPr>
                <w:rFonts w:cs="Arial"/>
                <w:sz w:val="24"/>
                <w:szCs w:val="24"/>
              </w:rPr>
              <w:t xml:space="preserve">for 1 hour </w:t>
            </w:r>
            <w:r w:rsidR="0092597E">
              <w:rPr>
                <w:rFonts w:cs="Arial"/>
                <w:sz w:val="24"/>
                <w:szCs w:val="24"/>
              </w:rPr>
              <w:t>with a catheter plug</w:t>
            </w:r>
            <w:r w:rsidR="00B82874">
              <w:rPr>
                <w:rFonts w:cs="Arial"/>
                <w:sz w:val="24"/>
                <w:szCs w:val="24"/>
              </w:rPr>
              <w:t xml:space="preserve"> (see below)</w:t>
            </w:r>
          </w:p>
          <w:p w14:paraId="7F8D8D62" w14:textId="77777777" w:rsidR="00981C5C" w:rsidRPr="00646C29" w:rsidRDefault="00981C5C" w:rsidP="00981C5C">
            <w:pPr>
              <w:pStyle w:val="ListParagraph"/>
              <w:numPr>
                <w:ilvl w:val="0"/>
                <w:numId w:val="8"/>
              </w:numPr>
              <w:rPr>
                <w:rFonts w:cs="Arial"/>
                <w:sz w:val="24"/>
                <w:szCs w:val="24"/>
              </w:rPr>
            </w:pPr>
            <w:r w:rsidRPr="00646C29">
              <w:rPr>
                <w:rFonts w:cs="Arial"/>
                <w:sz w:val="24"/>
                <w:szCs w:val="24"/>
              </w:rPr>
              <w:t>Wear appropriate personal protective equipment.</w:t>
            </w:r>
          </w:p>
          <w:p w14:paraId="7475E009" w14:textId="77777777" w:rsidR="005E29B6" w:rsidRPr="00646C29" w:rsidRDefault="005E29B6" w:rsidP="005E29B6">
            <w:pPr>
              <w:pStyle w:val="ListParagraph"/>
              <w:numPr>
                <w:ilvl w:val="0"/>
                <w:numId w:val="8"/>
              </w:numPr>
              <w:rPr>
                <w:rFonts w:cs="Arial"/>
                <w:sz w:val="24"/>
                <w:szCs w:val="24"/>
              </w:rPr>
            </w:pPr>
            <w:r w:rsidRPr="00646C29">
              <w:rPr>
                <w:rFonts w:cs="Arial"/>
                <w:sz w:val="24"/>
                <w:szCs w:val="24"/>
              </w:rPr>
              <w:t xml:space="preserve">Prepare for procedure and gather supplies needed.  </w:t>
            </w:r>
          </w:p>
          <w:p w14:paraId="5857DDB5" w14:textId="77777777" w:rsidR="00275E6C" w:rsidRPr="00275E6C" w:rsidRDefault="00275E6C" w:rsidP="00275E6C">
            <w:pPr>
              <w:pStyle w:val="ListParagraph"/>
              <w:numPr>
                <w:ilvl w:val="0"/>
                <w:numId w:val="8"/>
              </w:numPr>
              <w:rPr>
                <w:rFonts w:cs="Arial"/>
                <w:sz w:val="24"/>
                <w:szCs w:val="24"/>
              </w:rPr>
            </w:pPr>
            <w:r w:rsidRPr="00275E6C">
              <w:rPr>
                <w:rFonts w:cs="Arial"/>
                <w:sz w:val="24"/>
                <w:szCs w:val="24"/>
              </w:rPr>
              <w:t xml:space="preserve">MD will mix Botox with normal saline to 10 or 20 cc depending on amount </w:t>
            </w:r>
            <w:proofErr w:type="spellStart"/>
            <w:r w:rsidRPr="00275E6C">
              <w:rPr>
                <w:rFonts w:cs="Arial"/>
                <w:sz w:val="24"/>
                <w:szCs w:val="24"/>
              </w:rPr>
              <w:t>botox</w:t>
            </w:r>
            <w:proofErr w:type="spellEnd"/>
            <w:r w:rsidRPr="00275E6C">
              <w:rPr>
                <w:rFonts w:cs="Arial"/>
                <w:sz w:val="24"/>
                <w:szCs w:val="24"/>
              </w:rPr>
              <w:t xml:space="preserve"> used and patient pathology. Label syringes BOTOX.</w:t>
            </w:r>
          </w:p>
          <w:p w14:paraId="3DE15493" w14:textId="77777777" w:rsidR="00275E6C" w:rsidRPr="00275E6C" w:rsidRDefault="00275E6C" w:rsidP="00275E6C">
            <w:pPr>
              <w:pStyle w:val="ListParagraph"/>
              <w:numPr>
                <w:ilvl w:val="0"/>
                <w:numId w:val="8"/>
              </w:numPr>
              <w:rPr>
                <w:rFonts w:cs="Arial"/>
                <w:sz w:val="24"/>
                <w:szCs w:val="24"/>
              </w:rPr>
            </w:pPr>
            <w:r w:rsidRPr="00275E6C">
              <w:rPr>
                <w:rFonts w:cs="Arial"/>
                <w:sz w:val="24"/>
                <w:szCs w:val="24"/>
              </w:rPr>
              <w:t>-</w:t>
            </w:r>
            <w:proofErr w:type="spellStart"/>
            <w:r w:rsidRPr="00275E6C">
              <w:rPr>
                <w:rFonts w:cs="Arial"/>
                <w:sz w:val="24"/>
                <w:szCs w:val="24"/>
              </w:rPr>
              <w:t>botox</w:t>
            </w:r>
            <w:proofErr w:type="spellEnd"/>
            <w:r w:rsidRPr="00275E6C">
              <w:rPr>
                <w:rFonts w:cs="Arial"/>
                <w:sz w:val="24"/>
                <w:szCs w:val="24"/>
              </w:rPr>
              <w:t xml:space="preserve"> syringe does not need to be sterile as will be attached to sterile needle after scope and needle inserted (like a </w:t>
            </w:r>
            <w:proofErr w:type="spellStart"/>
            <w:r w:rsidRPr="00275E6C">
              <w:rPr>
                <w:rFonts w:cs="Arial"/>
                <w:sz w:val="24"/>
                <w:szCs w:val="24"/>
              </w:rPr>
              <w:t>subQ</w:t>
            </w:r>
            <w:proofErr w:type="spellEnd"/>
            <w:r w:rsidRPr="00275E6C">
              <w:rPr>
                <w:rFonts w:cs="Arial"/>
                <w:sz w:val="24"/>
                <w:szCs w:val="24"/>
              </w:rPr>
              <w:t xml:space="preserve"> or IM injection protocol) </w:t>
            </w:r>
          </w:p>
          <w:p w14:paraId="087673DB" w14:textId="77777777" w:rsidR="00275E6C" w:rsidRPr="00275E6C" w:rsidRDefault="00275E6C" w:rsidP="00275E6C">
            <w:pPr>
              <w:pStyle w:val="ListParagraph"/>
              <w:numPr>
                <w:ilvl w:val="0"/>
                <w:numId w:val="8"/>
              </w:numPr>
              <w:rPr>
                <w:rFonts w:cs="Arial"/>
                <w:sz w:val="24"/>
                <w:szCs w:val="24"/>
              </w:rPr>
            </w:pPr>
            <w:r w:rsidRPr="00275E6C">
              <w:rPr>
                <w:rFonts w:cs="Arial"/>
                <w:sz w:val="24"/>
                <w:szCs w:val="24"/>
              </w:rPr>
              <w:t xml:space="preserve">-MD will utilized </w:t>
            </w:r>
            <w:proofErr w:type="spellStart"/>
            <w:r w:rsidRPr="00275E6C">
              <w:rPr>
                <w:rFonts w:cs="Arial"/>
                <w:sz w:val="24"/>
                <w:szCs w:val="24"/>
              </w:rPr>
              <w:t>botox</w:t>
            </w:r>
            <w:proofErr w:type="spellEnd"/>
            <w:r w:rsidRPr="00275E6C">
              <w:rPr>
                <w:rFonts w:cs="Arial"/>
                <w:sz w:val="24"/>
                <w:szCs w:val="24"/>
              </w:rPr>
              <w:t xml:space="preserve"> syringes, </w:t>
            </w:r>
            <w:proofErr w:type="gramStart"/>
            <w:r w:rsidRPr="00275E6C">
              <w:rPr>
                <w:rFonts w:cs="Arial"/>
                <w:sz w:val="24"/>
                <w:szCs w:val="24"/>
              </w:rPr>
              <w:t>needle</w:t>
            </w:r>
            <w:proofErr w:type="gramEnd"/>
            <w:r w:rsidRPr="00275E6C">
              <w:rPr>
                <w:rFonts w:cs="Arial"/>
                <w:sz w:val="24"/>
                <w:szCs w:val="24"/>
              </w:rPr>
              <w:t xml:space="preserve"> and flexible cystoscope to inject into bladder wall</w:t>
            </w:r>
          </w:p>
          <w:p w14:paraId="434753FA" w14:textId="77777777" w:rsidR="00275E6C" w:rsidRPr="00275E6C" w:rsidRDefault="00275E6C" w:rsidP="00275E6C">
            <w:pPr>
              <w:pStyle w:val="ListParagraph"/>
              <w:numPr>
                <w:ilvl w:val="0"/>
                <w:numId w:val="8"/>
              </w:numPr>
              <w:rPr>
                <w:rFonts w:cs="Arial"/>
                <w:sz w:val="24"/>
                <w:szCs w:val="24"/>
              </w:rPr>
            </w:pPr>
            <w:r w:rsidRPr="00275E6C">
              <w:rPr>
                <w:rFonts w:cs="Arial"/>
                <w:sz w:val="24"/>
                <w:szCs w:val="24"/>
              </w:rPr>
              <w:t xml:space="preserve">-post procedure patient has to void into a hat or </w:t>
            </w:r>
            <w:proofErr w:type="gramStart"/>
            <w:r w:rsidRPr="00275E6C">
              <w:rPr>
                <w:rFonts w:cs="Arial"/>
                <w:sz w:val="24"/>
                <w:szCs w:val="24"/>
              </w:rPr>
              <w:t>urinal  (</w:t>
            </w:r>
            <w:proofErr w:type="gramEnd"/>
            <w:r w:rsidRPr="00275E6C">
              <w:rPr>
                <w:rFonts w:cs="Arial"/>
                <w:sz w:val="24"/>
                <w:szCs w:val="24"/>
              </w:rPr>
              <w:t xml:space="preserve">unless have known urinary retention) and a PVR checked to monitor for hematuria and ensure can empty bladder </w:t>
            </w:r>
          </w:p>
          <w:p w14:paraId="226D793C" w14:textId="77777777" w:rsidR="00275E6C" w:rsidRPr="00275E6C" w:rsidRDefault="00275E6C" w:rsidP="00275E6C">
            <w:pPr>
              <w:pStyle w:val="ListParagraph"/>
              <w:numPr>
                <w:ilvl w:val="0"/>
                <w:numId w:val="8"/>
              </w:numPr>
              <w:rPr>
                <w:rFonts w:cs="Arial"/>
                <w:sz w:val="24"/>
                <w:szCs w:val="24"/>
              </w:rPr>
            </w:pPr>
            <w:r w:rsidRPr="00275E6C">
              <w:rPr>
                <w:rFonts w:cs="Arial"/>
                <w:sz w:val="24"/>
                <w:szCs w:val="24"/>
              </w:rPr>
              <w:t xml:space="preserve">-no antibiotics needed unless pre-procedure urine culture or </w:t>
            </w:r>
            <w:proofErr w:type="spellStart"/>
            <w:r w:rsidRPr="00275E6C">
              <w:rPr>
                <w:rFonts w:cs="Arial"/>
                <w:sz w:val="24"/>
                <w:szCs w:val="24"/>
              </w:rPr>
              <w:t>Cystoscopic</w:t>
            </w:r>
            <w:proofErr w:type="spellEnd"/>
            <w:r w:rsidRPr="00275E6C">
              <w:rPr>
                <w:rFonts w:cs="Arial"/>
                <w:sz w:val="24"/>
                <w:szCs w:val="24"/>
              </w:rPr>
              <w:t xml:space="preserve"> findings warrants them</w:t>
            </w:r>
          </w:p>
          <w:p w14:paraId="1DC6D140" w14:textId="5CD0BD59" w:rsidR="00C46A25" w:rsidRDefault="00275E6C" w:rsidP="00275E6C">
            <w:pPr>
              <w:numPr>
                <w:ilvl w:val="0"/>
                <w:numId w:val="8"/>
              </w:numPr>
              <w:rPr>
                <w:rFonts w:cs="Arial"/>
                <w:sz w:val="24"/>
                <w:szCs w:val="24"/>
              </w:rPr>
            </w:pPr>
            <w:r w:rsidRPr="00275E6C">
              <w:rPr>
                <w:rFonts w:cs="Arial"/>
                <w:sz w:val="24"/>
                <w:szCs w:val="24"/>
              </w:rPr>
              <w:t xml:space="preserve">-for patients with urinary retention with either indwelling catheters or who CIC, the catheter will be replaced at the end of the test or the patient will CIC to empty their </w:t>
            </w:r>
            <w:proofErr w:type="gramStart"/>
            <w:r w:rsidRPr="00275E6C">
              <w:rPr>
                <w:rFonts w:cs="Arial"/>
                <w:sz w:val="24"/>
                <w:szCs w:val="24"/>
              </w:rPr>
              <w:t>bladder(</w:t>
            </w:r>
            <w:proofErr w:type="gramEnd"/>
            <w:r w:rsidRPr="00275E6C">
              <w:rPr>
                <w:rFonts w:cs="Arial"/>
                <w:sz w:val="24"/>
                <w:szCs w:val="24"/>
              </w:rPr>
              <w:t xml:space="preserve">into a hat or urinal)  post procedure before leaving clinic to monitor for hematuria </w:t>
            </w:r>
          </w:p>
          <w:p w14:paraId="4A75AF79" w14:textId="647CAB5C" w:rsidR="00C46A25" w:rsidRPr="00C46A25" w:rsidRDefault="00C46A25" w:rsidP="00C46A25">
            <w:pPr>
              <w:rPr>
                <w:rFonts w:cs="Arial"/>
                <w:sz w:val="24"/>
                <w:szCs w:val="24"/>
              </w:rPr>
            </w:pPr>
          </w:p>
        </w:tc>
      </w:tr>
      <w:tr w:rsidR="004C55D2" w:rsidRPr="00965560" w14:paraId="0AD8EA6C" w14:textId="77777777" w:rsidTr="00473C32">
        <w:trPr>
          <w:trHeight w:val="83"/>
        </w:trPr>
        <w:tc>
          <w:tcPr>
            <w:tcW w:w="10517" w:type="dxa"/>
          </w:tcPr>
          <w:p w14:paraId="42F9F92C" w14:textId="1988D185" w:rsidR="004C55D2" w:rsidRPr="000330E8" w:rsidRDefault="000330E8" w:rsidP="004C55D2">
            <w:pPr>
              <w:rPr>
                <w:rFonts w:cs="Arial"/>
                <w:b/>
                <w:sz w:val="28"/>
                <w:szCs w:val="28"/>
              </w:rPr>
            </w:pPr>
            <w:r>
              <w:rPr>
                <w:rFonts w:cs="Arial"/>
                <w:b/>
                <w:sz w:val="28"/>
                <w:szCs w:val="28"/>
              </w:rPr>
              <w:lastRenderedPageBreak/>
              <w:t>E. Post</w:t>
            </w:r>
            <w:r w:rsidR="00C46A25">
              <w:rPr>
                <w:rFonts w:cs="Arial"/>
                <w:b/>
                <w:sz w:val="28"/>
                <w:szCs w:val="28"/>
              </w:rPr>
              <w:t xml:space="preserve">-Instillation </w:t>
            </w:r>
            <w:r>
              <w:rPr>
                <w:rFonts w:cs="Arial"/>
                <w:b/>
                <w:sz w:val="28"/>
                <w:szCs w:val="28"/>
              </w:rPr>
              <w:t>Patient I</w:t>
            </w:r>
            <w:r w:rsidR="003D2F2F" w:rsidRPr="000330E8">
              <w:rPr>
                <w:rFonts w:cs="Arial"/>
                <w:b/>
                <w:sz w:val="28"/>
                <w:szCs w:val="28"/>
              </w:rPr>
              <w:t>nstruction</w:t>
            </w:r>
            <w:r w:rsidR="00C46A25">
              <w:rPr>
                <w:rFonts w:cs="Arial"/>
                <w:b/>
                <w:sz w:val="28"/>
                <w:szCs w:val="28"/>
              </w:rPr>
              <w:t>s</w:t>
            </w:r>
          </w:p>
        </w:tc>
      </w:tr>
      <w:tr w:rsidR="004C55D2" w:rsidRPr="00965560" w14:paraId="499D99EF" w14:textId="77777777" w:rsidTr="00473C32">
        <w:trPr>
          <w:trHeight w:val="83"/>
        </w:trPr>
        <w:tc>
          <w:tcPr>
            <w:tcW w:w="10517" w:type="dxa"/>
          </w:tcPr>
          <w:p w14:paraId="0B73063D" w14:textId="6070D85D" w:rsidR="00275E6C" w:rsidRDefault="00275E6C" w:rsidP="003D2F2F">
            <w:pPr>
              <w:pStyle w:val="ListParagraph"/>
              <w:numPr>
                <w:ilvl w:val="0"/>
                <w:numId w:val="17"/>
              </w:numPr>
              <w:rPr>
                <w:sz w:val="24"/>
                <w:szCs w:val="24"/>
              </w:rPr>
            </w:pPr>
            <w:r>
              <w:rPr>
                <w:sz w:val="24"/>
                <w:szCs w:val="24"/>
              </w:rPr>
              <w:t xml:space="preserve">Check vital signs at conclusion of </w:t>
            </w:r>
            <w:proofErr w:type="gramStart"/>
            <w:r>
              <w:rPr>
                <w:sz w:val="24"/>
                <w:szCs w:val="24"/>
              </w:rPr>
              <w:t>procedure</w:t>
            </w:r>
            <w:proofErr w:type="gramEnd"/>
          </w:p>
          <w:p w14:paraId="0A5007AD" w14:textId="7FD78E17" w:rsidR="003D2F2F" w:rsidRPr="00646C29" w:rsidRDefault="003D2F2F" w:rsidP="003D2F2F">
            <w:pPr>
              <w:pStyle w:val="ListParagraph"/>
              <w:numPr>
                <w:ilvl w:val="0"/>
                <w:numId w:val="17"/>
              </w:numPr>
              <w:rPr>
                <w:sz w:val="24"/>
                <w:szCs w:val="24"/>
              </w:rPr>
            </w:pPr>
            <w:r w:rsidRPr="00646C29">
              <w:rPr>
                <w:sz w:val="24"/>
                <w:szCs w:val="24"/>
              </w:rPr>
              <w:t xml:space="preserve">Instruct patient to drink fluids, at least 8-10 glasses, after instillation of medication. </w:t>
            </w:r>
          </w:p>
          <w:p w14:paraId="3B43343E" w14:textId="7E23CA4F" w:rsidR="003D2F2F" w:rsidRPr="00646C29" w:rsidRDefault="00027193" w:rsidP="003D2F2F">
            <w:pPr>
              <w:pStyle w:val="ListParagraph"/>
              <w:numPr>
                <w:ilvl w:val="0"/>
                <w:numId w:val="17"/>
              </w:numPr>
              <w:rPr>
                <w:sz w:val="24"/>
                <w:szCs w:val="24"/>
              </w:rPr>
            </w:pPr>
            <w:r>
              <w:rPr>
                <w:sz w:val="24"/>
                <w:szCs w:val="24"/>
              </w:rPr>
              <w:t>Bladder spasms, urinary frequency and urgency, mild blood in the urine and fatigue are normal</w:t>
            </w:r>
            <w:r w:rsidR="003D2F2F" w:rsidRPr="00646C29">
              <w:rPr>
                <w:sz w:val="24"/>
                <w:szCs w:val="24"/>
              </w:rPr>
              <w:t>.</w:t>
            </w:r>
          </w:p>
          <w:p w14:paraId="1C37F170" w14:textId="4EFCF545" w:rsidR="003D2F2F" w:rsidRPr="00646C29" w:rsidRDefault="00C86A5A" w:rsidP="003D2F2F">
            <w:pPr>
              <w:pStyle w:val="ListParagraph"/>
              <w:numPr>
                <w:ilvl w:val="0"/>
                <w:numId w:val="17"/>
              </w:numPr>
              <w:rPr>
                <w:sz w:val="24"/>
                <w:szCs w:val="24"/>
              </w:rPr>
            </w:pPr>
            <w:r>
              <w:rPr>
                <w:sz w:val="24"/>
                <w:szCs w:val="24"/>
              </w:rPr>
              <w:t>Treatment c</w:t>
            </w:r>
            <w:r w:rsidR="003D2F2F" w:rsidRPr="00646C29">
              <w:rPr>
                <w:sz w:val="24"/>
                <w:szCs w:val="24"/>
              </w:rPr>
              <w:t>omplications can include fever greater than 101 F, allergic reactions</w:t>
            </w:r>
            <w:r w:rsidR="00027193">
              <w:rPr>
                <w:sz w:val="24"/>
                <w:szCs w:val="24"/>
              </w:rPr>
              <w:t>,</w:t>
            </w:r>
            <w:r w:rsidR="003D2F2F" w:rsidRPr="00646C29">
              <w:rPr>
                <w:sz w:val="24"/>
                <w:szCs w:val="24"/>
              </w:rPr>
              <w:t xml:space="preserve"> acute severe illnesses and </w:t>
            </w:r>
            <w:proofErr w:type="gramStart"/>
            <w:r w:rsidR="003D2F2F" w:rsidRPr="00646C29">
              <w:rPr>
                <w:sz w:val="24"/>
                <w:szCs w:val="24"/>
              </w:rPr>
              <w:t>sepsis</w:t>
            </w:r>
            <w:proofErr w:type="gramEnd"/>
            <w:r w:rsidR="003D2F2F" w:rsidRPr="00646C29">
              <w:rPr>
                <w:sz w:val="24"/>
                <w:szCs w:val="24"/>
              </w:rPr>
              <w:t xml:space="preserve"> </w:t>
            </w:r>
          </w:p>
          <w:p w14:paraId="3B4F1EB6" w14:textId="021F1561" w:rsidR="003D2F2F" w:rsidRPr="00027193" w:rsidRDefault="00027193" w:rsidP="003D2F2F">
            <w:pPr>
              <w:pStyle w:val="ListParagraph"/>
              <w:numPr>
                <w:ilvl w:val="0"/>
                <w:numId w:val="17"/>
              </w:numPr>
              <w:rPr>
                <w:sz w:val="24"/>
                <w:szCs w:val="24"/>
              </w:rPr>
            </w:pPr>
            <w:r w:rsidRPr="00027193">
              <w:rPr>
                <w:sz w:val="24"/>
                <w:szCs w:val="24"/>
              </w:rPr>
              <w:t>If experiencing</w:t>
            </w:r>
            <w:r w:rsidR="003D2F2F" w:rsidRPr="00027193">
              <w:rPr>
                <w:sz w:val="24"/>
                <w:szCs w:val="24"/>
              </w:rPr>
              <w:t xml:space="preserve"> fever of 100.5 F or higher</w:t>
            </w:r>
            <w:r w:rsidRPr="00027193">
              <w:rPr>
                <w:sz w:val="24"/>
                <w:szCs w:val="24"/>
              </w:rPr>
              <w:t>, chills</w:t>
            </w:r>
            <w:r>
              <w:rPr>
                <w:sz w:val="24"/>
                <w:szCs w:val="24"/>
              </w:rPr>
              <w:t xml:space="preserve">, </w:t>
            </w:r>
            <w:proofErr w:type="gramStart"/>
            <w:r w:rsidR="003D2F2F" w:rsidRPr="00027193">
              <w:rPr>
                <w:sz w:val="24"/>
                <w:szCs w:val="24"/>
              </w:rPr>
              <w:t>Very</w:t>
            </w:r>
            <w:proofErr w:type="gramEnd"/>
            <w:r w:rsidR="003D2F2F" w:rsidRPr="00027193">
              <w:rPr>
                <w:sz w:val="24"/>
                <w:szCs w:val="24"/>
              </w:rPr>
              <w:t xml:space="preserve"> bad dizziness or passing out, shortness of breath, chest pain, unable to pass urine or bright red blood or clots in the urine, or feeling tired or weak</w:t>
            </w:r>
            <w:r w:rsidRPr="00027193">
              <w:rPr>
                <w:sz w:val="24"/>
                <w:szCs w:val="24"/>
              </w:rPr>
              <w:sym w:font="Wingdings" w:char="F0E0"/>
            </w:r>
            <w:r w:rsidR="003D2F2F" w:rsidRPr="00027193">
              <w:rPr>
                <w:sz w:val="24"/>
                <w:szCs w:val="24"/>
              </w:rPr>
              <w:t xml:space="preserve">  Seek medical attention immediately. </w:t>
            </w:r>
          </w:p>
          <w:p w14:paraId="71791E02" w14:textId="77777777" w:rsidR="000775CB" w:rsidRPr="00275E6C" w:rsidRDefault="00275E6C" w:rsidP="003D2F2F">
            <w:pPr>
              <w:pStyle w:val="ListParagraph"/>
              <w:numPr>
                <w:ilvl w:val="0"/>
                <w:numId w:val="17"/>
              </w:numPr>
              <w:rPr>
                <w:b/>
                <w:bCs/>
                <w:sz w:val="24"/>
                <w:szCs w:val="24"/>
              </w:rPr>
            </w:pPr>
            <w:r w:rsidRPr="00275E6C">
              <w:rPr>
                <w:b/>
                <w:bCs/>
                <w:sz w:val="24"/>
                <w:szCs w:val="24"/>
              </w:rPr>
              <w:t>Autonomic Dysreflexia</w:t>
            </w:r>
          </w:p>
          <w:p w14:paraId="5CE5B32A" w14:textId="5D06159A" w:rsidR="00275E6C" w:rsidRPr="00275E6C" w:rsidRDefault="00275E6C" w:rsidP="00275E6C">
            <w:pPr>
              <w:pStyle w:val="ListParagraph"/>
              <w:numPr>
                <w:ilvl w:val="0"/>
                <w:numId w:val="25"/>
              </w:numPr>
              <w:rPr>
                <w:sz w:val="24"/>
                <w:szCs w:val="24"/>
              </w:rPr>
            </w:pPr>
            <w:r w:rsidRPr="00275E6C">
              <w:rPr>
                <w:sz w:val="24"/>
                <w:szCs w:val="24"/>
              </w:rPr>
              <w:t xml:space="preserve">Any patient with a spinal lesion above the lumbar spine, especially T6 or higher, a risk of sudden blood pressure rise </w:t>
            </w:r>
            <w:proofErr w:type="gramStart"/>
            <w:r w:rsidRPr="00275E6C">
              <w:rPr>
                <w:sz w:val="24"/>
                <w:szCs w:val="24"/>
              </w:rPr>
              <w:t>exists</w:t>
            </w:r>
            <w:proofErr w:type="gramEnd"/>
          </w:p>
          <w:p w14:paraId="030CE143" w14:textId="77777777" w:rsidR="00275E6C" w:rsidRDefault="00275E6C" w:rsidP="00275E6C">
            <w:pPr>
              <w:pStyle w:val="ListParagraph"/>
              <w:numPr>
                <w:ilvl w:val="0"/>
                <w:numId w:val="25"/>
              </w:numPr>
              <w:rPr>
                <w:sz w:val="24"/>
                <w:szCs w:val="24"/>
              </w:rPr>
            </w:pPr>
            <w:r w:rsidRPr="00275E6C">
              <w:rPr>
                <w:sz w:val="24"/>
                <w:szCs w:val="24"/>
              </w:rPr>
              <w:t>-</w:t>
            </w:r>
            <w:proofErr w:type="gramStart"/>
            <w:r w:rsidRPr="00275E6C">
              <w:rPr>
                <w:sz w:val="24"/>
                <w:szCs w:val="24"/>
              </w:rPr>
              <w:t>typically</w:t>
            </w:r>
            <w:proofErr w:type="gramEnd"/>
            <w:r w:rsidRPr="00275E6C">
              <w:rPr>
                <w:sz w:val="24"/>
                <w:szCs w:val="24"/>
              </w:rPr>
              <w:t xml:space="preserve"> these patients will have their first 1-2 </w:t>
            </w:r>
            <w:proofErr w:type="spellStart"/>
            <w:r w:rsidRPr="00275E6C">
              <w:rPr>
                <w:sz w:val="24"/>
                <w:szCs w:val="24"/>
              </w:rPr>
              <w:t>botox</w:t>
            </w:r>
            <w:proofErr w:type="spellEnd"/>
            <w:r w:rsidRPr="00275E6C">
              <w:rPr>
                <w:sz w:val="24"/>
                <w:szCs w:val="24"/>
              </w:rPr>
              <w:t xml:space="preserve"> injections in the OR with anesthesia monitoring with rescue meds available. After </w:t>
            </w:r>
            <w:proofErr w:type="spellStart"/>
            <w:r w:rsidRPr="00275E6C">
              <w:rPr>
                <w:sz w:val="24"/>
                <w:szCs w:val="24"/>
              </w:rPr>
              <w:t>botox</w:t>
            </w:r>
            <w:proofErr w:type="spellEnd"/>
            <w:r w:rsidRPr="00275E6C">
              <w:rPr>
                <w:sz w:val="24"/>
                <w:szCs w:val="24"/>
              </w:rPr>
              <w:t xml:space="preserve"> dose is stable, the risk for AD can decrease and they can be clinic appropriate.</w:t>
            </w:r>
          </w:p>
          <w:p w14:paraId="4119C8FE" w14:textId="77777777" w:rsidR="00275E6C" w:rsidRDefault="00275E6C" w:rsidP="00275E6C">
            <w:pPr>
              <w:pStyle w:val="ListParagraph"/>
              <w:numPr>
                <w:ilvl w:val="0"/>
                <w:numId w:val="25"/>
              </w:numPr>
              <w:rPr>
                <w:sz w:val="24"/>
                <w:szCs w:val="24"/>
              </w:rPr>
            </w:pPr>
            <w:r w:rsidRPr="00275E6C">
              <w:rPr>
                <w:sz w:val="24"/>
                <w:szCs w:val="24"/>
              </w:rPr>
              <w:t xml:space="preserve">Summary of Preferred Initial Pharmacological Antihypertensive Therapies for Emergency Use in </w:t>
            </w:r>
          </w:p>
          <w:p w14:paraId="674F49EF" w14:textId="77777777" w:rsidR="00275E6C" w:rsidRDefault="00275E6C" w:rsidP="00275E6C">
            <w:pPr>
              <w:pStyle w:val="ListParagraph"/>
              <w:rPr>
                <w:sz w:val="24"/>
                <w:szCs w:val="24"/>
              </w:rPr>
            </w:pPr>
          </w:p>
          <w:p w14:paraId="3841FA45" w14:textId="15408587" w:rsidR="00275E6C" w:rsidRPr="00275E6C" w:rsidRDefault="00275E6C" w:rsidP="00275E6C">
            <w:pPr>
              <w:pStyle w:val="ListParagraph"/>
              <w:numPr>
                <w:ilvl w:val="0"/>
                <w:numId w:val="25"/>
              </w:numPr>
              <w:rPr>
                <w:sz w:val="24"/>
                <w:szCs w:val="24"/>
              </w:rPr>
            </w:pPr>
            <w:r w:rsidRPr="00275E6C">
              <w:rPr>
                <w:sz w:val="24"/>
                <w:szCs w:val="24"/>
              </w:rPr>
              <w:t>Autonomic Dysreflexia:</w:t>
            </w:r>
          </w:p>
          <w:p w14:paraId="562AF32B" w14:textId="67D43103" w:rsidR="00275E6C" w:rsidRPr="00275E6C" w:rsidRDefault="00275E6C" w:rsidP="00275E6C">
            <w:pPr>
              <w:pStyle w:val="ListParagraph"/>
              <w:numPr>
                <w:ilvl w:val="0"/>
                <w:numId w:val="25"/>
              </w:numPr>
              <w:rPr>
                <w:sz w:val="24"/>
                <w:szCs w:val="24"/>
              </w:rPr>
            </w:pPr>
            <w:r w:rsidRPr="00275E6C">
              <w:rPr>
                <w:sz w:val="24"/>
                <w:szCs w:val="24"/>
              </w:rPr>
              <w:t>Nitroglycerine 2% Paste: Dosage 1 to 2 inches (placed on the non-hairy chest or elsewhere above the level of spinal injury) - Onset of activity: 3 to 5 minutes. The duration of action is 8 hours. The maximum dose is 5 inches.</w:t>
            </w:r>
          </w:p>
          <w:p w14:paraId="48BFAB1C" w14:textId="52691C1A" w:rsidR="00275E6C" w:rsidRPr="00275E6C" w:rsidRDefault="00275E6C" w:rsidP="00275E6C">
            <w:pPr>
              <w:pStyle w:val="ListParagraph"/>
              <w:numPr>
                <w:ilvl w:val="0"/>
                <w:numId w:val="25"/>
              </w:numPr>
              <w:rPr>
                <w:sz w:val="24"/>
                <w:szCs w:val="24"/>
              </w:rPr>
            </w:pPr>
            <w:r w:rsidRPr="00275E6C">
              <w:rPr>
                <w:sz w:val="24"/>
                <w:szCs w:val="24"/>
              </w:rPr>
              <w:t>Nifedipine "Bite and Swallow": Dosage 10 mg. - Onset of activity: 10 to 20 minutes - Peak activity in 1 hour - May repeat every 20 to 30 minutes. The duration of action is 4 hours. The maximum dose is 40 mg./24 hours.</w:t>
            </w:r>
          </w:p>
          <w:p w14:paraId="7C143FFD" w14:textId="2567ED62" w:rsidR="00275E6C" w:rsidRPr="00275E6C" w:rsidRDefault="00275E6C" w:rsidP="00275E6C">
            <w:pPr>
              <w:pStyle w:val="ListParagraph"/>
              <w:numPr>
                <w:ilvl w:val="0"/>
                <w:numId w:val="25"/>
              </w:numPr>
              <w:rPr>
                <w:sz w:val="24"/>
                <w:szCs w:val="24"/>
              </w:rPr>
            </w:pPr>
            <w:r w:rsidRPr="00275E6C">
              <w:rPr>
                <w:sz w:val="24"/>
                <w:szCs w:val="24"/>
              </w:rPr>
              <w:t>Sublingual Captopril: Dosage 25 mg. - Onset of activity: 20 to 30 minutes - May repeat in 1 hour as needed. Peak activity in 1 hour. The duration of action is 4 hours. The maximum dose is 50 mg.</w:t>
            </w:r>
          </w:p>
          <w:p w14:paraId="2FE7BF8D" w14:textId="1F0A9D93" w:rsidR="00275E6C" w:rsidRPr="00275E6C" w:rsidRDefault="00275E6C" w:rsidP="00275E6C">
            <w:pPr>
              <w:pStyle w:val="ListParagraph"/>
              <w:numPr>
                <w:ilvl w:val="0"/>
                <w:numId w:val="25"/>
              </w:numPr>
              <w:rPr>
                <w:sz w:val="24"/>
                <w:szCs w:val="24"/>
              </w:rPr>
            </w:pPr>
            <w:r w:rsidRPr="00275E6C">
              <w:rPr>
                <w:sz w:val="24"/>
                <w:szCs w:val="24"/>
              </w:rPr>
              <w:t>Sublingual Clonidine: Dosage 0.2 mg. initially followed by 0.1 mg. hourly as needed. - Onset of activity: 10 to 20 minutes. Peak activity in 1 hour. The duration of action is 12 hours. The maximum dose is 0.8 mg.</w:t>
            </w:r>
          </w:p>
          <w:p w14:paraId="655A05CE" w14:textId="2A830806" w:rsidR="00275E6C" w:rsidRPr="00275E6C" w:rsidRDefault="00275E6C" w:rsidP="00275E6C">
            <w:pPr>
              <w:pStyle w:val="ListParagraph"/>
              <w:numPr>
                <w:ilvl w:val="0"/>
                <w:numId w:val="25"/>
              </w:numPr>
              <w:rPr>
                <w:sz w:val="24"/>
                <w:szCs w:val="24"/>
              </w:rPr>
            </w:pPr>
            <w:r w:rsidRPr="00275E6C">
              <w:rPr>
                <w:sz w:val="24"/>
                <w:szCs w:val="24"/>
              </w:rPr>
              <w:t>If BP does not immediately normalize, call Rapid response team.</w:t>
            </w:r>
          </w:p>
        </w:tc>
      </w:tr>
    </w:tbl>
    <w:p w14:paraId="1389EBBC" w14:textId="5A94EF1D" w:rsidR="00275E6C" w:rsidRDefault="00275E6C">
      <w:pPr>
        <w:rPr>
          <w:sz w:val="28"/>
          <w:szCs w:val="28"/>
        </w:rPr>
      </w:pPr>
    </w:p>
    <w:p w14:paraId="0B23C627" w14:textId="7675839B" w:rsidR="00DD0AB3" w:rsidRDefault="00DD0AB3">
      <w:pPr>
        <w:rPr>
          <w:sz w:val="28"/>
          <w:szCs w:val="28"/>
        </w:rPr>
      </w:pPr>
    </w:p>
    <w:p w14:paraId="6334E8DC" w14:textId="77777777" w:rsidR="00DD0AB3" w:rsidRPr="00965560" w:rsidRDefault="00DD0AB3">
      <w:pPr>
        <w:rPr>
          <w:sz w:val="28"/>
          <w:szCs w:val="28"/>
        </w:rPr>
      </w:pPr>
    </w:p>
    <w:sectPr w:rsidR="00DD0AB3" w:rsidRPr="0096556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FD25" w14:textId="77777777" w:rsidR="005F19A5" w:rsidRDefault="005F19A5" w:rsidP="004D00A2">
      <w:pPr>
        <w:spacing w:after="0" w:line="240" w:lineRule="auto"/>
      </w:pPr>
      <w:r>
        <w:separator/>
      </w:r>
    </w:p>
  </w:endnote>
  <w:endnote w:type="continuationSeparator" w:id="0">
    <w:p w14:paraId="4134D8F1" w14:textId="77777777" w:rsidR="005F19A5" w:rsidRDefault="005F19A5" w:rsidP="004D0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6B90" w14:textId="77777777" w:rsidR="005F19A5" w:rsidRDefault="005F19A5" w:rsidP="004D00A2">
      <w:pPr>
        <w:spacing w:after="0" w:line="240" w:lineRule="auto"/>
      </w:pPr>
      <w:r>
        <w:separator/>
      </w:r>
    </w:p>
  </w:footnote>
  <w:footnote w:type="continuationSeparator" w:id="0">
    <w:p w14:paraId="25B4EECD" w14:textId="77777777" w:rsidR="005F19A5" w:rsidRDefault="005F19A5" w:rsidP="004D0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25"/>
      <w:gridCol w:w="2921"/>
      <w:gridCol w:w="2921"/>
      <w:gridCol w:w="1240"/>
    </w:tblGrid>
    <w:tr w:rsidR="004D00A2" w:rsidRPr="00D227EC" w14:paraId="3A5575BB" w14:textId="77777777" w:rsidTr="00473C32">
      <w:trPr>
        <w:trHeight w:val="666"/>
      </w:trPr>
      <w:tc>
        <w:tcPr>
          <w:tcW w:w="3225" w:type="dxa"/>
          <w:vMerge w:val="restart"/>
          <w:tcBorders>
            <w:top w:val="single" w:sz="12" w:space="0" w:color="auto"/>
            <w:left w:val="single" w:sz="12" w:space="0" w:color="auto"/>
            <w:bottom w:val="single" w:sz="6" w:space="0" w:color="auto"/>
            <w:right w:val="single" w:sz="6" w:space="0" w:color="auto"/>
          </w:tcBorders>
          <w:hideMark/>
        </w:tcPr>
        <w:p w14:paraId="26A4130F" w14:textId="77777777" w:rsidR="004D00A2" w:rsidRPr="00D227EC" w:rsidRDefault="004D00A2" w:rsidP="00473C32">
          <w:pPr>
            <w:pStyle w:val="Header"/>
          </w:pPr>
          <w:r w:rsidRPr="00D227EC">
            <w:rPr>
              <w:noProof/>
            </w:rPr>
            <w:drawing>
              <wp:anchor distT="0" distB="0" distL="114300" distR="114300" simplePos="0" relativeHeight="251699200" behindDoc="1" locked="0" layoutInCell="1" allowOverlap="1" wp14:anchorId="7AE0C077" wp14:editId="1B44815B">
                <wp:simplePos x="0" y="0"/>
                <wp:positionH relativeFrom="column">
                  <wp:posOffset>0</wp:posOffset>
                </wp:positionH>
                <wp:positionV relativeFrom="paragraph">
                  <wp:posOffset>110490</wp:posOffset>
                </wp:positionV>
                <wp:extent cx="619125" cy="607060"/>
                <wp:effectExtent l="0" t="0" r="9525" b="2540"/>
                <wp:wrapTight wrapText="bothSides">
                  <wp:wrapPolygon edited="0">
                    <wp:start x="0" y="0"/>
                    <wp:lineTo x="0" y="21013"/>
                    <wp:lineTo x="21268" y="21013"/>
                    <wp:lineTo x="212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7060"/>
                        </a:xfrm>
                        <a:prstGeom prst="rect">
                          <a:avLst/>
                        </a:prstGeom>
                        <a:noFill/>
                      </pic:spPr>
                    </pic:pic>
                  </a:graphicData>
                </a:graphic>
              </wp:anchor>
            </w:drawing>
          </w:r>
          <w:r w:rsidRPr="00D227EC">
            <w:t xml:space="preserve">                         </w:t>
          </w:r>
        </w:p>
        <w:p w14:paraId="7F7BDB45" w14:textId="43869AD2" w:rsidR="004D00A2" w:rsidRPr="00D227EC" w:rsidRDefault="004D00A2" w:rsidP="00473C32">
          <w:pPr>
            <w:pStyle w:val="Header"/>
          </w:pPr>
        </w:p>
      </w:tc>
      <w:tc>
        <w:tcPr>
          <w:tcW w:w="5842" w:type="dxa"/>
          <w:gridSpan w:val="2"/>
          <w:tcBorders>
            <w:top w:val="single" w:sz="12" w:space="0" w:color="auto"/>
            <w:left w:val="single" w:sz="6" w:space="0" w:color="auto"/>
            <w:bottom w:val="single" w:sz="6" w:space="0" w:color="auto"/>
            <w:right w:val="single" w:sz="6" w:space="0" w:color="auto"/>
          </w:tcBorders>
          <w:hideMark/>
        </w:tcPr>
        <w:p w14:paraId="4D97E871" w14:textId="77777777" w:rsidR="004D00A2" w:rsidRPr="00D227EC" w:rsidRDefault="004D00A2" w:rsidP="00473C32">
          <w:pPr>
            <w:pStyle w:val="Header"/>
            <w:rPr>
              <w:b/>
            </w:rPr>
          </w:pPr>
          <w:r w:rsidRPr="00D227EC">
            <w:rPr>
              <w:b/>
            </w:rPr>
            <w:t>Standard Operating Procedure</w:t>
          </w:r>
          <w:r w:rsidR="00217B29">
            <w:rPr>
              <w:b/>
            </w:rPr>
            <w:t xml:space="preserve"> for </w:t>
          </w:r>
        </w:p>
        <w:p w14:paraId="57BD12FD" w14:textId="2E1DB7B5" w:rsidR="004D00A2" w:rsidRPr="00D227EC" w:rsidRDefault="00A45E24" w:rsidP="00473C32">
          <w:pPr>
            <w:pStyle w:val="Header"/>
            <w:rPr>
              <w:b/>
            </w:rPr>
          </w:pPr>
          <w:r>
            <w:t xml:space="preserve"> </w:t>
          </w:r>
          <w:r w:rsidR="00275E6C">
            <w:rPr>
              <w:b/>
            </w:rPr>
            <w:t>Botox Injection in the Clinic</w:t>
          </w:r>
        </w:p>
      </w:tc>
      <w:tc>
        <w:tcPr>
          <w:tcW w:w="1240" w:type="dxa"/>
          <w:tcBorders>
            <w:top w:val="single" w:sz="12" w:space="0" w:color="auto"/>
            <w:left w:val="single" w:sz="6" w:space="0" w:color="auto"/>
            <w:bottom w:val="single" w:sz="6" w:space="0" w:color="auto"/>
            <w:right w:val="single" w:sz="12" w:space="0" w:color="auto"/>
          </w:tcBorders>
          <w:hideMark/>
        </w:tcPr>
        <w:p w14:paraId="0B8E48E2" w14:textId="77777777" w:rsidR="004D00A2" w:rsidRPr="00D227EC" w:rsidRDefault="004D00A2" w:rsidP="00473C32">
          <w:pPr>
            <w:pStyle w:val="Header"/>
          </w:pPr>
          <w:r w:rsidRPr="00D227EC">
            <w:t>Version:</w:t>
          </w:r>
        </w:p>
        <w:p w14:paraId="6C8EB8D3" w14:textId="1B515F8A" w:rsidR="004D00A2" w:rsidRPr="00D227EC" w:rsidRDefault="008D052F" w:rsidP="00473C32">
          <w:pPr>
            <w:pStyle w:val="Header"/>
          </w:pPr>
          <w:r>
            <w:t>1</w:t>
          </w:r>
        </w:p>
      </w:tc>
    </w:tr>
    <w:tr w:rsidR="004D00A2" w:rsidRPr="00D227EC" w14:paraId="242CB9F0" w14:textId="77777777" w:rsidTr="00473C32">
      <w:trPr>
        <w:trHeight w:val="238"/>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7B92632B" w14:textId="77777777" w:rsidR="004D00A2" w:rsidRPr="00D227EC" w:rsidRDefault="004D00A2" w:rsidP="00473C32">
          <w:pPr>
            <w:pStyle w:val="Header"/>
          </w:pPr>
        </w:p>
      </w:tc>
      <w:tc>
        <w:tcPr>
          <w:tcW w:w="5842" w:type="dxa"/>
          <w:gridSpan w:val="2"/>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39F35977" w14:textId="2005253C" w:rsidR="004D00A2" w:rsidRPr="00D227EC" w:rsidRDefault="004D00A2" w:rsidP="00473C32">
          <w:pPr>
            <w:pStyle w:val="Header"/>
          </w:pPr>
          <w:r w:rsidRPr="00D227EC">
            <w:t xml:space="preserve">Purpose: </w:t>
          </w:r>
          <w:r w:rsidR="00124631">
            <w:t xml:space="preserve"> </w:t>
          </w:r>
          <w:proofErr w:type="spellStart"/>
          <w:r w:rsidR="00555BEA">
            <w:t>Adstiladrin</w:t>
          </w:r>
          <w:proofErr w:type="spellEnd"/>
          <w:r w:rsidR="00555BEA">
            <w:t xml:space="preserve"> Instillation</w:t>
          </w:r>
        </w:p>
      </w:tc>
      <w:tc>
        <w:tcPr>
          <w:tcW w:w="1240" w:type="dxa"/>
          <w:vMerge w:val="restart"/>
          <w:tcBorders>
            <w:top w:val="single" w:sz="6" w:space="0" w:color="auto"/>
            <w:left w:val="single" w:sz="6" w:space="0" w:color="auto"/>
            <w:bottom w:val="single" w:sz="6" w:space="0" w:color="auto"/>
            <w:right w:val="single" w:sz="12" w:space="0" w:color="auto"/>
          </w:tcBorders>
          <w:vAlign w:val="center"/>
          <w:hideMark/>
        </w:tcPr>
        <w:p w14:paraId="47BBF2FC" w14:textId="77777777" w:rsidR="004D00A2" w:rsidRPr="00D227EC" w:rsidRDefault="004D00A2" w:rsidP="00473C32">
          <w:pPr>
            <w:pStyle w:val="Header"/>
          </w:pPr>
          <w:r w:rsidRPr="00D227EC">
            <w:t>Status:</w:t>
          </w:r>
        </w:p>
        <w:p w14:paraId="106595B3" w14:textId="2395E068" w:rsidR="004D00A2" w:rsidRPr="00D227EC" w:rsidRDefault="00F219AE" w:rsidP="00473C32">
          <w:pPr>
            <w:pStyle w:val="Header"/>
          </w:pPr>
          <w:r>
            <w:t>draft</w:t>
          </w:r>
        </w:p>
      </w:tc>
    </w:tr>
    <w:tr w:rsidR="00355255" w:rsidRPr="00D227EC" w14:paraId="5CE2339D" w14:textId="77777777" w:rsidTr="00473C32">
      <w:trPr>
        <w:trHeight w:val="326"/>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2E5F1B8" w14:textId="77777777" w:rsidR="00355255" w:rsidRPr="00D227EC" w:rsidRDefault="00355255" w:rsidP="00473C32">
          <w:pPr>
            <w:pStyle w:val="Header"/>
          </w:pPr>
        </w:p>
      </w:tc>
      <w:tc>
        <w:tcPr>
          <w:tcW w:w="2921" w:type="dxa"/>
          <w:tcBorders>
            <w:top w:val="single" w:sz="6" w:space="0" w:color="auto"/>
            <w:left w:val="single" w:sz="6" w:space="0" w:color="auto"/>
            <w:bottom w:val="single" w:sz="6" w:space="0" w:color="auto"/>
            <w:right w:val="single" w:sz="6" w:space="0" w:color="auto"/>
          </w:tcBorders>
          <w:hideMark/>
        </w:tcPr>
        <w:p w14:paraId="2A770F44" w14:textId="77777777" w:rsidR="00355255" w:rsidRDefault="00355255" w:rsidP="00BA5A3A">
          <w:pPr>
            <w:pStyle w:val="Header"/>
          </w:pPr>
          <w:r w:rsidRPr="004E3284">
            <w:t xml:space="preserve">Owner:  </w:t>
          </w:r>
          <w:r>
            <w:t>Urology</w:t>
          </w:r>
        </w:p>
        <w:p w14:paraId="34915B00" w14:textId="77777777" w:rsidR="00C12B17" w:rsidRDefault="00C12B17" w:rsidP="00C12B17">
          <w:pPr>
            <w:pStyle w:val="Header"/>
          </w:pPr>
          <w:r>
            <w:t>Service Chief:</w:t>
          </w:r>
        </w:p>
        <w:p w14:paraId="475CEAC9" w14:textId="77777777" w:rsidR="00C12B17" w:rsidRDefault="00C12B17" w:rsidP="00C12B17">
          <w:pPr>
            <w:pStyle w:val="Header"/>
          </w:pPr>
        </w:p>
        <w:p w14:paraId="52A80E6A" w14:textId="00B556DD" w:rsidR="00355255" w:rsidRPr="004E3284" w:rsidRDefault="00C12B17" w:rsidP="00C12B17">
          <w:pPr>
            <w:pStyle w:val="Header"/>
          </w:pPr>
          <w:r>
            <w:t>Dr</w:t>
          </w:r>
          <w:r w:rsidR="00275E6C">
            <w:t>. L Spencer Krane</w:t>
          </w:r>
        </w:p>
      </w:tc>
      <w:tc>
        <w:tcPr>
          <w:tcW w:w="2921" w:type="dxa"/>
          <w:tcBorders>
            <w:top w:val="single" w:sz="6" w:space="0" w:color="auto"/>
            <w:left w:val="single" w:sz="6" w:space="0" w:color="auto"/>
            <w:bottom w:val="single" w:sz="6" w:space="0" w:color="auto"/>
            <w:right w:val="single" w:sz="6" w:space="0" w:color="auto"/>
          </w:tcBorders>
          <w:hideMark/>
        </w:tcPr>
        <w:p w14:paraId="143DD9D8" w14:textId="77777777" w:rsidR="00355255" w:rsidRDefault="00355255" w:rsidP="00BA5A3A">
          <w:pPr>
            <w:pStyle w:val="Header"/>
          </w:pPr>
          <w:r w:rsidRPr="004E3284">
            <w:t>Approver Date:</w:t>
          </w:r>
        </w:p>
        <w:p w14:paraId="23DAE513" w14:textId="6DDB2734" w:rsidR="00231296" w:rsidRPr="004E3284" w:rsidRDefault="00231296" w:rsidP="00BA5A3A">
          <w:pPr>
            <w:pStyle w:val="Header"/>
          </w:pPr>
        </w:p>
      </w:tc>
      <w:tc>
        <w:tcPr>
          <w:tcW w:w="1240" w:type="dxa"/>
          <w:vMerge/>
          <w:tcBorders>
            <w:top w:val="single" w:sz="6" w:space="0" w:color="auto"/>
            <w:left w:val="single" w:sz="6" w:space="0" w:color="auto"/>
            <w:bottom w:val="single" w:sz="6" w:space="0" w:color="auto"/>
            <w:right w:val="single" w:sz="12" w:space="0" w:color="auto"/>
          </w:tcBorders>
          <w:vAlign w:val="center"/>
          <w:hideMark/>
        </w:tcPr>
        <w:p w14:paraId="1F92C6D2" w14:textId="77777777" w:rsidR="00355255" w:rsidRPr="00D227EC" w:rsidRDefault="00355255" w:rsidP="00473C32">
          <w:pPr>
            <w:pStyle w:val="Header"/>
          </w:pPr>
        </w:p>
      </w:tc>
    </w:tr>
    <w:tr w:rsidR="00355255" w:rsidRPr="00D227EC" w14:paraId="6B3A6214" w14:textId="77777777" w:rsidTr="00473C32">
      <w:trPr>
        <w:trHeight w:val="275"/>
      </w:trPr>
      <w:tc>
        <w:tcPr>
          <w:tcW w:w="3225" w:type="dxa"/>
          <w:vMerge w:val="restart"/>
          <w:tcBorders>
            <w:top w:val="single" w:sz="6" w:space="0" w:color="auto"/>
            <w:left w:val="single" w:sz="12" w:space="0" w:color="auto"/>
            <w:right w:val="single" w:sz="6" w:space="0" w:color="auto"/>
          </w:tcBorders>
          <w:hideMark/>
        </w:tcPr>
        <w:p w14:paraId="5A81300B" w14:textId="1AD5AFF1" w:rsidR="00124631" w:rsidRPr="00D227EC" w:rsidRDefault="00124631" w:rsidP="00B14EAA">
          <w:pPr>
            <w:pStyle w:val="Header"/>
          </w:pPr>
        </w:p>
      </w:tc>
      <w:tc>
        <w:tcPr>
          <w:tcW w:w="2921" w:type="dxa"/>
          <w:tcBorders>
            <w:top w:val="single" w:sz="6" w:space="0" w:color="auto"/>
            <w:left w:val="single" w:sz="6" w:space="0" w:color="auto"/>
            <w:bottom w:val="single" w:sz="4" w:space="0" w:color="auto"/>
            <w:right w:val="single" w:sz="6" w:space="0" w:color="auto"/>
          </w:tcBorders>
          <w:hideMark/>
        </w:tcPr>
        <w:p w14:paraId="291CF289" w14:textId="77777777" w:rsidR="00355255" w:rsidRPr="004E3284" w:rsidRDefault="00355255" w:rsidP="00BA5A3A">
          <w:pPr>
            <w:pStyle w:val="Header"/>
          </w:pPr>
        </w:p>
      </w:tc>
      <w:tc>
        <w:tcPr>
          <w:tcW w:w="2921" w:type="dxa"/>
          <w:tcBorders>
            <w:top w:val="single" w:sz="6" w:space="0" w:color="auto"/>
            <w:left w:val="single" w:sz="6" w:space="0" w:color="auto"/>
            <w:bottom w:val="single" w:sz="4" w:space="0" w:color="auto"/>
            <w:right w:val="single" w:sz="6" w:space="0" w:color="auto"/>
          </w:tcBorders>
          <w:hideMark/>
        </w:tcPr>
        <w:p w14:paraId="569131C2" w14:textId="77777777" w:rsidR="00355255" w:rsidRPr="004E3284" w:rsidRDefault="00355255" w:rsidP="00BA5A3A">
          <w:pPr>
            <w:pStyle w:val="Header"/>
          </w:pPr>
        </w:p>
      </w:tc>
      <w:tc>
        <w:tcPr>
          <w:tcW w:w="1240" w:type="dxa"/>
          <w:vMerge w:val="restart"/>
          <w:tcBorders>
            <w:top w:val="single" w:sz="6" w:space="0" w:color="auto"/>
            <w:left w:val="single" w:sz="6" w:space="0" w:color="auto"/>
            <w:right w:val="single" w:sz="12" w:space="0" w:color="auto"/>
          </w:tcBorders>
          <w:vAlign w:val="center"/>
          <w:hideMark/>
        </w:tcPr>
        <w:p w14:paraId="1B2EBDF7" w14:textId="77777777" w:rsidR="00355255" w:rsidRPr="00D227EC" w:rsidRDefault="00355255" w:rsidP="00473C32">
          <w:pPr>
            <w:pStyle w:val="Header"/>
          </w:pPr>
          <w:r w:rsidRPr="00D227EC">
            <w:t xml:space="preserve">Page </w:t>
          </w:r>
          <w:r w:rsidRPr="00D227EC">
            <w:rPr>
              <w:b/>
            </w:rPr>
            <w:fldChar w:fldCharType="begin"/>
          </w:r>
          <w:r w:rsidRPr="00D227EC">
            <w:rPr>
              <w:b/>
            </w:rPr>
            <w:instrText xml:space="preserve"> PAGE  \* Arabic  \* MERGEFORMAT </w:instrText>
          </w:r>
          <w:r w:rsidRPr="00D227EC">
            <w:rPr>
              <w:b/>
            </w:rPr>
            <w:fldChar w:fldCharType="separate"/>
          </w:r>
          <w:r w:rsidR="007946FA">
            <w:rPr>
              <w:b/>
              <w:noProof/>
            </w:rPr>
            <w:t>1</w:t>
          </w:r>
          <w:r w:rsidRPr="00D227EC">
            <w:fldChar w:fldCharType="end"/>
          </w:r>
          <w:r w:rsidRPr="00D227EC">
            <w:t xml:space="preserve"> of </w:t>
          </w:r>
          <w:r w:rsidRPr="00D227EC">
            <w:rPr>
              <w:b/>
            </w:rPr>
            <w:fldChar w:fldCharType="begin"/>
          </w:r>
          <w:r w:rsidRPr="00D227EC">
            <w:rPr>
              <w:b/>
            </w:rPr>
            <w:instrText xml:space="preserve"> NUMPAGES  \* Arabic  \* MERGEFORMAT </w:instrText>
          </w:r>
          <w:r w:rsidRPr="00D227EC">
            <w:rPr>
              <w:b/>
            </w:rPr>
            <w:fldChar w:fldCharType="separate"/>
          </w:r>
          <w:r w:rsidR="007946FA">
            <w:rPr>
              <w:b/>
              <w:noProof/>
            </w:rPr>
            <w:t>4</w:t>
          </w:r>
          <w:r w:rsidRPr="00D227EC">
            <w:fldChar w:fldCharType="end"/>
          </w:r>
        </w:p>
      </w:tc>
    </w:tr>
    <w:tr w:rsidR="00355255" w:rsidRPr="00D227EC" w14:paraId="58850EBA" w14:textId="77777777" w:rsidTr="00473C32">
      <w:trPr>
        <w:trHeight w:val="177"/>
      </w:trPr>
      <w:tc>
        <w:tcPr>
          <w:tcW w:w="3225" w:type="dxa"/>
          <w:vMerge/>
          <w:tcBorders>
            <w:left w:val="single" w:sz="12" w:space="0" w:color="auto"/>
            <w:bottom w:val="single" w:sz="12" w:space="0" w:color="auto"/>
            <w:right w:val="single" w:sz="6" w:space="0" w:color="auto"/>
          </w:tcBorders>
        </w:tcPr>
        <w:p w14:paraId="39D17FB1" w14:textId="77777777" w:rsidR="00355255" w:rsidRPr="00D227EC" w:rsidRDefault="00355255" w:rsidP="00473C32">
          <w:pPr>
            <w:pStyle w:val="Header"/>
          </w:pPr>
        </w:p>
      </w:tc>
      <w:tc>
        <w:tcPr>
          <w:tcW w:w="2921" w:type="dxa"/>
          <w:tcBorders>
            <w:top w:val="single" w:sz="4" w:space="0" w:color="auto"/>
            <w:left w:val="single" w:sz="6" w:space="0" w:color="auto"/>
            <w:bottom w:val="single" w:sz="12" w:space="0" w:color="auto"/>
            <w:right w:val="single" w:sz="6" w:space="0" w:color="auto"/>
          </w:tcBorders>
        </w:tcPr>
        <w:p w14:paraId="351C8ED4" w14:textId="77777777" w:rsidR="00355255" w:rsidRDefault="00C12B17" w:rsidP="00BA5A3A">
          <w:pPr>
            <w:pStyle w:val="Header"/>
          </w:pPr>
          <w:r>
            <w:t>Unit Manager:</w:t>
          </w:r>
        </w:p>
        <w:p w14:paraId="23A03994" w14:textId="77777777" w:rsidR="00163DEA" w:rsidRDefault="00163DEA" w:rsidP="00BA5A3A">
          <w:pPr>
            <w:pStyle w:val="Header"/>
          </w:pPr>
        </w:p>
        <w:p w14:paraId="54CD9F15" w14:textId="451D60E3" w:rsidR="00355255" w:rsidRPr="004E3284" w:rsidRDefault="00355255" w:rsidP="00BA5A3A">
          <w:pPr>
            <w:pStyle w:val="Header"/>
          </w:pPr>
        </w:p>
      </w:tc>
      <w:tc>
        <w:tcPr>
          <w:tcW w:w="2921" w:type="dxa"/>
          <w:tcBorders>
            <w:top w:val="single" w:sz="4" w:space="0" w:color="auto"/>
            <w:left w:val="single" w:sz="6" w:space="0" w:color="auto"/>
            <w:bottom w:val="single" w:sz="12" w:space="0" w:color="auto"/>
            <w:right w:val="single" w:sz="6" w:space="0" w:color="auto"/>
          </w:tcBorders>
        </w:tcPr>
        <w:p w14:paraId="6F5CCAEF" w14:textId="77777777" w:rsidR="00355255" w:rsidRDefault="00355255" w:rsidP="00BA5A3A">
          <w:pPr>
            <w:pStyle w:val="Header"/>
          </w:pPr>
          <w:r w:rsidRPr="004E3284">
            <w:t>Approval Date:</w:t>
          </w:r>
        </w:p>
        <w:p w14:paraId="55E218A7" w14:textId="47CEC0C9" w:rsidR="00231296" w:rsidRPr="004E3284" w:rsidRDefault="00231296" w:rsidP="00BA5A3A">
          <w:pPr>
            <w:pStyle w:val="Header"/>
          </w:pPr>
        </w:p>
      </w:tc>
      <w:tc>
        <w:tcPr>
          <w:tcW w:w="1240" w:type="dxa"/>
          <w:vMerge/>
          <w:tcBorders>
            <w:left w:val="single" w:sz="6" w:space="0" w:color="auto"/>
            <w:bottom w:val="single" w:sz="12" w:space="0" w:color="auto"/>
            <w:right w:val="single" w:sz="12" w:space="0" w:color="auto"/>
          </w:tcBorders>
          <w:vAlign w:val="center"/>
        </w:tcPr>
        <w:p w14:paraId="5DD892D0" w14:textId="77777777" w:rsidR="00355255" w:rsidRPr="00D227EC" w:rsidRDefault="00355255" w:rsidP="00473C32">
          <w:pPr>
            <w:pStyle w:val="Header"/>
          </w:pPr>
        </w:p>
      </w:tc>
    </w:tr>
  </w:tbl>
  <w:p w14:paraId="0392D542" w14:textId="77777777" w:rsidR="004D00A2" w:rsidRDefault="004D0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3F5D"/>
    <w:multiLevelType w:val="hybridMultilevel"/>
    <w:tmpl w:val="405ECF44"/>
    <w:lvl w:ilvl="0" w:tplc="83586F8E">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3BE9"/>
    <w:multiLevelType w:val="hybridMultilevel"/>
    <w:tmpl w:val="B7861FE8"/>
    <w:lvl w:ilvl="0" w:tplc="04090015">
      <w:start w:val="1"/>
      <w:numFmt w:val="upperLetter"/>
      <w:lvlText w:val="%1."/>
      <w:lvlJc w:val="left"/>
      <w:pPr>
        <w:ind w:left="720" w:hanging="360"/>
      </w:pPr>
      <w:rPr>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3221C8"/>
    <w:multiLevelType w:val="multilevel"/>
    <w:tmpl w:val="811A61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D7597B"/>
    <w:multiLevelType w:val="hybridMultilevel"/>
    <w:tmpl w:val="ED3E20B0"/>
    <w:lvl w:ilvl="0" w:tplc="83586F8E">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71C9E"/>
    <w:multiLevelType w:val="hybridMultilevel"/>
    <w:tmpl w:val="17EE7A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70C79"/>
    <w:multiLevelType w:val="hybridMultilevel"/>
    <w:tmpl w:val="78E2E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916FA"/>
    <w:multiLevelType w:val="hybridMultilevel"/>
    <w:tmpl w:val="6D582AA4"/>
    <w:lvl w:ilvl="0" w:tplc="83586F8E">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2194D"/>
    <w:multiLevelType w:val="hybridMultilevel"/>
    <w:tmpl w:val="8CDC5C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43B5D"/>
    <w:multiLevelType w:val="hybridMultilevel"/>
    <w:tmpl w:val="5B728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638E2"/>
    <w:multiLevelType w:val="hybridMultilevel"/>
    <w:tmpl w:val="ED241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93FF8"/>
    <w:multiLevelType w:val="hybridMultilevel"/>
    <w:tmpl w:val="835CC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57319"/>
    <w:multiLevelType w:val="hybridMultilevel"/>
    <w:tmpl w:val="186E9296"/>
    <w:lvl w:ilvl="0" w:tplc="C6CCF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31113"/>
    <w:multiLevelType w:val="hybridMultilevel"/>
    <w:tmpl w:val="818C6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34C36"/>
    <w:multiLevelType w:val="hybridMultilevel"/>
    <w:tmpl w:val="D92E7562"/>
    <w:lvl w:ilvl="0" w:tplc="83586F8E">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510C2"/>
    <w:multiLevelType w:val="hybridMultilevel"/>
    <w:tmpl w:val="39E2F3C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4C965CB9"/>
    <w:multiLevelType w:val="hybridMultilevel"/>
    <w:tmpl w:val="6C2C3F46"/>
    <w:lvl w:ilvl="0" w:tplc="2922473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E0B05"/>
    <w:multiLevelType w:val="hybridMultilevel"/>
    <w:tmpl w:val="D040E5E4"/>
    <w:lvl w:ilvl="0" w:tplc="C6CCF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B85C3A"/>
    <w:multiLevelType w:val="hybridMultilevel"/>
    <w:tmpl w:val="5EE84F7A"/>
    <w:lvl w:ilvl="0" w:tplc="67A80028">
      <w:numFmt w:val="bullet"/>
      <w:lvlText w:val="-"/>
      <w:lvlJc w:val="left"/>
      <w:pPr>
        <w:ind w:left="1980" w:hanging="360"/>
      </w:pPr>
      <w:rPr>
        <w:rFonts w:ascii="Calibri" w:eastAsiaTheme="minorHAnsi" w:hAnsi="Calibri" w:cs="Calibri"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5C056F6D"/>
    <w:multiLevelType w:val="hybridMultilevel"/>
    <w:tmpl w:val="FF1A1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D55A2"/>
    <w:multiLevelType w:val="hybridMultilevel"/>
    <w:tmpl w:val="C7627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05486"/>
    <w:multiLevelType w:val="hybridMultilevel"/>
    <w:tmpl w:val="43EE953A"/>
    <w:lvl w:ilvl="0" w:tplc="7B283C28">
      <w:numFmt w:val="bullet"/>
      <w:lvlText w:val="-"/>
      <w:lvlJc w:val="left"/>
      <w:pPr>
        <w:ind w:left="1620" w:hanging="360"/>
      </w:pPr>
      <w:rPr>
        <w:rFonts w:ascii="Calibri" w:eastAsiaTheme="minorHAnsi"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75E644B1"/>
    <w:multiLevelType w:val="hybridMultilevel"/>
    <w:tmpl w:val="FFE82A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9633DF"/>
    <w:multiLevelType w:val="hybridMultilevel"/>
    <w:tmpl w:val="7962060E"/>
    <w:lvl w:ilvl="0" w:tplc="C6CCF8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C856BE"/>
    <w:multiLevelType w:val="hybridMultilevel"/>
    <w:tmpl w:val="20467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27FE6"/>
    <w:multiLevelType w:val="hybridMultilevel"/>
    <w:tmpl w:val="D520D5F0"/>
    <w:lvl w:ilvl="0" w:tplc="427E6A5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16cid:durableId="1316493832">
    <w:abstractNumId w:val="2"/>
  </w:num>
  <w:num w:numId="2" w16cid:durableId="1728144463">
    <w:abstractNumId w:val="10"/>
  </w:num>
  <w:num w:numId="3" w16cid:durableId="833684870">
    <w:abstractNumId w:val="23"/>
  </w:num>
  <w:num w:numId="4" w16cid:durableId="1848784662">
    <w:abstractNumId w:val="5"/>
  </w:num>
  <w:num w:numId="5" w16cid:durableId="941033512">
    <w:abstractNumId w:val="9"/>
  </w:num>
  <w:num w:numId="6" w16cid:durableId="511378049">
    <w:abstractNumId w:val="11"/>
  </w:num>
  <w:num w:numId="7" w16cid:durableId="697512509">
    <w:abstractNumId w:val="22"/>
  </w:num>
  <w:num w:numId="8" w16cid:durableId="1092357049">
    <w:abstractNumId w:val="16"/>
  </w:num>
  <w:num w:numId="9" w16cid:durableId="1771581788">
    <w:abstractNumId w:val="7"/>
  </w:num>
  <w:num w:numId="10" w16cid:durableId="30611449">
    <w:abstractNumId w:val="12"/>
  </w:num>
  <w:num w:numId="11" w16cid:durableId="95101360">
    <w:abstractNumId w:val="4"/>
  </w:num>
  <w:num w:numId="12" w16cid:durableId="464155462">
    <w:abstractNumId w:val="15"/>
  </w:num>
  <w:num w:numId="13" w16cid:durableId="1422065941">
    <w:abstractNumId w:val="21"/>
  </w:num>
  <w:num w:numId="14" w16cid:durableId="1027028097">
    <w:abstractNumId w:val="18"/>
  </w:num>
  <w:num w:numId="15" w16cid:durableId="1569875112">
    <w:abstractNumId w:val="3"/>
  </w:num>
  <w:num w:numId="16" w16cid:durableId="1086079116">
    <w:abstractNumId w:val="6"/>
  </w:num>
  <w:num w:numId="17" w16cid:durableId="369304167">
    <w:abstractNumId w:val="0"/>
  </w:num>
  <w:num w:numId="18" w16cid:durableId="1236937500">
    <w:abstractNumId w:val="13"/>
  </w:num>
  <w:num w:numId="19" w16cid:durableId="402262861">
    <w:abstractNumId w:val="19"/>
  </w:num>
  <w:num w:numId="20" w16cid:durableId="552429184">
    <w:abstractNumId w:val="14"/>
  </w:num>
  <w:num w:numId="21" w16cid:durableId="107359508">
    <w:abstractNumId w:val="8"/>
  </w:num>
  <w:num w:numId="22" w16cid:durableId="956256232">
    <w:abstractNumId w:val="20"/>
  </w:num>
  <w:num w:numId="23" w16cid:durableId="1248884468">
    <w:abstractNumId w:val="17"/>
  </w:num>
  <w:num w:numId="24" w16cid:durableId="2059888263">
    <w:abstractNumId w:val="24"/>
  </w:num>
  <w:num w:numId="25" w16cid:durableId="185562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A2"/>
    <w:rsid w:val="00027193"/>
    <w:rsid w:val="000330E8"/>
    <w:rsid w:val="00045112"/>
    <w:rsid w:val="00046C21"/>
    <w:rsid w:val="00064A7D"/>
    <w:rsid w:val="000775CB"/>
    <w:rsid w:val="00094CB7"/>
    <w:rsid w:val="000C00B9"/>
    <w:rsid w:val="000C3249"/>
    <w:rsid w:val="00123E97"/>
    <w:rsid w:val="00124631"/>
    <w:rsid w:val="00127BCC"/>
    <w:rsid w:val="001340AA"/>
    <w:rsid w:val="00153284"/>
    <w:rsid w:val="00163AB5"/>
    <w:rsid w:val="00163DEA"/>
    <w:rsid w:val="00194E89"/>
    <w:rsid w:val="001A32C9"/>
    <w:rsid w:val="001B0834"/>
    <w:rsid w:val="001D1AA0"/>
    <w:rsid w:val="0021662F"/>
    <w:rsid w:val="00217B29"/>
    <w:rsid w:val="00231296"/>
    <w:rsid w:val="0024279C"/>
    <w:rsid w:val="00242D54"/>
    <w:rsid w:val="00254495"/>
    <w:rsid w:val="00275E6C"/>
    <w:rsid w:val="002A0783"/>
    <w:rsid w:val="002D0C1B"/>
    <w:rsid w:val="002D4235"/>
    <w:rsid w:val="00355255"/>
    <w:rsid w:val="0036787C"/>
    <w:rsid w:val="00376115"/>
    <w:rsid w:val="003D023B"/>
    <w:rsid w:val="003D2F2F"/>
    <w:rsid w:val="00415458"/>
    <w:rsid w:val="00452EF1"/>
    <w:rsid w:val="00482867"/>
    <w:rsid w:val="004A2F7F"/>
    <w:rsid w:val="004C55D2"/>
    <w:rsid w:val="004C6589"/>
    <w:rsid w:val="004D00A2"/>
    <w:rsid w:val="004D1DEF"/>
    <w:rsid w:val="004E2C56"/>
    <w:rsid w:val="005228A4"/>
    <w:rsid w:val="00533ECD"/>
    <w:rsid w:val="00555BEA"/>
    <w:rsid w:val="005674D4"/>
    <w:rsid w:val="005A2FFC"/>
    <w:rsid w:val="005B2DC4"/>
    <w:rsid w:val="005B339D"/>
    <w:rsid w:val="005E29B6"/>
    <w:rsid w:val="005E312C"/>
    <w:rsid w:val="005F19A5"/>
    <w:rsid w:val="006062FF"/>
    <w:rsid w:val="006411EA"/>
    <w:rsid w:val="0064492F"/>
    <w:rsid w:val="00646C29"/>
    <w:rsid w:val="00682E7D"/>
    <w:rsid w:val="006A1C27"/>
    <w:rsid w:val="006A63B1"/>
    <w:rsid w:val="006F74EF"/>
    <w:rsid w:val="00712407"/>
    <w:rsid w:val="00722ABC"/>
    <w:rsid w:val="0074433C"/>
    <w:rsid w:val="00786E57"/>
    <w:rsid w:val="007946FA"/>
    <w:rsid w:val="007A55B9"/>
    <w:rsid w:val="007D77E3"/>
    <w:rsid w:val="007F7D57"/>
    <w:rsid w:val="00853F06"/>
    <w:rsid w:val="008852A0"/>
    <w:rsid w:val="008D052F"/>
    <w:rsid w:val="008F4C92"/>
    <w:rsid w:val="00906927"/>
    <w:rsid w:val="00912F95"/>
    <w:rsid w:val="0092597E"/>
    <w:rsid w:val="00927C5E"/>
    <w:rsid w:val="00937872"/>
    <w:rsid w:val="00965560"/>
    <w:rsid w:val="00981C5C"/>
    <w:rsid w:val="009A4907"/>
    <w:rsid w:val="009D5A67"/>
    <w:rsid w:val="009D6D7C"/>
    <w:rsid w:val="009E4BEC"/>
    <w:rsid w:val="00A32D93"/>
    <w:rsid w:val="00A4009F"/>
    <w:rsid w:val="00A45E24"/>
    <w:rsid w:val="00A57972"/>
    <w:rsid w:val="00A75A33"/>
    <w:rsid w:val="00A87E51"/>
    <w:rsid w:val="00AC1233"/>
    <w:rsid w:val="00AD74A8"/>
    <w:rsid w:val="00AF70A8"/>
    <w:rsid w:val="00B00BEB"/>
    <w:rsid w:val="00B118FE"/>
    <w:rsid w:val="00B14EAA"/>
    <w:rsid w:val="00B22881"/>
    <w:rsid w:val="00B82874"/>
    <w:rsid w:val="00B93510"/>
    <w:rsid w:val="00B937DC"/>
    <w:rsid w:val="00B939C3"/>
    <w:rsid w:val="00BA0F8E"/>
    <w:rsid w:val="00BB577F"/>
    <w:rsid w:val="00BC60DB"/>
    <w:rsid w:val="00C12B17"/>
    <w:rsid w:val="00C4627B"/>
    <w:rsid w:val="00C46A25"/>
    <w:rsid w:val="00C508BA"/>
    <w:rsid w:val="00C67FD8"/>
    <w:rsid w:val="00C74E33"/>
    <w:rsid w:val="00C86A5A"/>
    <w:rsid w:val="00CB5D77"/>
    <w:rsid w:val="00CD0AE9"/>
    <w:rsid w:val="00CE456F"/>
    <w:rsid w:val="00D2106F"/>
    <w:rsid w:val="00D715EA"/>
    <w:rsid w:val="00D8483A"/>
    <w:rsid w:val="00DA7554"/>
    <w:rsid w:val="00DC2AE2"/>
    <w:rsid w:val="00DD0AB3"/>
    <w:rsid w:val="00E10208"/>
    <w:rsid w:val="00E1105C"/>
    <w:rsid w:val="00E222BA"/>
    <w:rsid w:val="00E27936"/>
    <w:rsid w:val="00EA00D6"/>
    <w:rsid w:val="00EB4FDF"/>
    <w:rsid w:val="00EC25B3"/>
    <w:rsid w:val="00F07A0C"/>
    <w:rsid w:val="00F20909"/>
    <w:rsid w:val="00F219AE"/>
    <w:rsid w:val="00F34FB8"/>
    <w:rsid w:val="00F55B82"/>
    <w:rsid w:val="00F629B9"/>
    <w:rsid w:val="00F83728"/>
    <w:rsid w:val="00FB0F24"/>
    <w:rsid w:val="00FB5CE5"/>
    <w:rsid w:val="00FF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DD934"/>
  <w15:docId w15:val="{100849D0-BC1B-45C2-A7E9-3700B3F6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0A2"/>
  </w:style>
  <w:style w:type="paragraph" w:styleId="Footer">
    <w:name w:val="footer"/>
    <w:basedOn w:val="Normal"/>
    <w:link w:val="FooterChar"/>
    <w:uiPriority w:val="99"/>
    <w:unhideWhenUsed/>
    <w:rsid w:val="004D0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0A2"/>
  </w:style>
  <w:style w:type="table" w:styleId="TableGrid">
    <w:name w:val="Table Grid"/>
    <w:basedOn w:val="TableNormal"/>
    <w:uiPriority w:val="59"/>
    <w:rsid w:val="004D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00A2"/>
    <w:pPr>
      <w:ind w:left="720"/>
      <w:contextualSpacing/>
    </w:pPr>
  </w:style>
  <w:style w:type="paragraph" w:styleId="BalloonText">
    <w:name w:val="Balloon Text"/>
    <w:basedOn w:val="Normal"/>
    <w:link w:val="BalloonTextChar"/>
    <w:uiPriority w:val="99"/>
    <w:semiHidden/>
    <w:unhideWhenUsed/>
    <w:rsid w:val="00C46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7B5E5-2FD3-48FC-8AC8-E86513AD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Louis</dc:creator>
  <cp:lastModifiedBy>Jacobs-krennerich, Brittany</cp:lastModifiedBy>
  <cp:revision>2</cp:revision>
  <cp:lastPrinted>2022-11-16T19:13:00Z</cp:lastPrinted>
  <dcterms:created xsi:type="dcterms:W3CDTF">2024-07-08T12:45:00Z</dcterms:created>
  <dcterms:modified xsi:type="dcterms:W3CDTF">2024-07-08T12:45:00Z</dcterms:modified>
</cp:coreProperties>
</file>